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3E07" w:rsidRPr="008F25AB" w:rsidRDefault="00723E07" w:rsidP="00723E07">
      <w:pPr>
        <w:pStyle w:val="Titre2"/>
        <w:spacing w:before="120" w:after="120" w:line="360" w:lineRule="auto"/>
        <w:ind w:left="1843" w:hanging="1843"/>
        <w:jc w:val="both"/>
        <w:rPr>
          <w:color w:val="auto"/>
          <w:sz w:val="28"/>
          <w:szCs w:val="28"/>
        </w:rPr>
      </w:pPr>
      <w:r w:rsidRPr="00670ABB">
        <w:rPr>
          <w:color w:val="auto"/>
          <w:sz w:val="28"/>
          <w:szCs w:val="28"/>
          <w:u w:val="single"/>
        </w:rPr>
        <w:t>CHAPITRE II :</w:t>
      </w:r>
      <w:r w:rsidRPr="00670ABB">
        <w:rPr>
          <w:color w:val="auto"/>
          <w:sz w:val="28"/>
          <w:szCs w:val="28"/>
        </w:rPr>
        <w:t xml:space="preserve"> </w:t>
      </w:r>
      <w:r>
        <w:rPr>
          <w:color w:val="auto"/>
          <w:sz w:val="28"/>
          <w:szCs w:val="28"/>
        </w:rPr>
        <w:t xml:space="preserve">LES INFECTIONS ENTERIQUES ET REPONSES DE   </w:t>
      </w:r>
      <w:r w:rsidRPr="008F25AB">
        <w:rPr>
          <w:color w:val="auto"/>
          <w:sz w:val="28"/>
          <w:szCs w:val="28"/>
        </w:rPr>
        <w:t>L’HOTE</w:t>
      </w:r>
    </w:p>
    <w:p w:rsidR="00723E07" w:rsidRPr="008F25AB" w:rsidRDefault="00723E07" w:rsidP="00723E07">
      <w:pPr>
        <w:spacing w:before="120" w:after="120"/>
        <w:ind w:firstLine="708"/>
        <w:rPr>
          <w:b/>
          <w:bCs/>
        </w:rPr>
      </w:pPr>
      <w:r w:rsidRPr="008F25AB">
        <w:rPr>
          <w:b/>
          <w:bCs/>
        </w:rPr>
        <w:t>II.1.</w:t>
      </w:r>
      <w:r w:rsidRPr="008F25AB">
        <w:rPr>
          <w:b/>
          <w:bCs/>
          <w:sz w:val="28"/>
          <w:szCs w:val="28"/>
        </w:rPr>
        <w:t xml:space="preserve"> </w:t>
      </w:r>
      <w:r>
        <w:rPr>
          <w:b/>
          <w:bCs/>
        </w:rPr>
        <w:t>L</w:t>
      </w:r>
      <w:r w:rsidRPr="008F25AB">
        <w:rPr>
          <w:b/>
          <w:bCs/>
        </w:rPr>
        <w:t>es infections gastro - entériques</w:t>
      </w:r>
    </w:p>
    <w:p w:rsidR="00723E07" w:rsidRPr="008F25AB" w:rsidRDefault="00723E07" w:rsidP="00723E07">
      <w:pPr>
        <w:autoSpaceDE w:val="0"/>
        <w:autoSpaceDN w:val="0"/>
        <w:adjustRightInd w:val="0"/>
        <w:spacing w:before="120" w:after="120" w:line="360" w:lineRule="auto"/>
        <w:ind w:firstLine="708"/>
        <w:jc w:val="both"/>
        <w:rPr>
          <w:b/>
          <w:bCs/>
        </w:rPr>
      </w:pPr>
      <w:r w:rsidRPr="008F25AB">
        <w:rPr>
          <w:b/>
          <w:bCs/>
        </w:rPr>
        <w:t>II.1.1.</w:t>
      </w:r>
      <w:r>
        <w:rPr>
          <w:b/>
          <w:bCs/>
        </w:rPr>
        <w:t xml:space="preserve"> </w:t>
      </w:r>
      <w:r w:rsidRPr="008F25AB">
        <w:rPr>
          <w:b/>
          <w:bCs/>
        </w:rPr>
        <w:t>Principales causes d’infections entériques</w:t>
      </w:r>
    </w:p>
    <w:p w:rsidR="00723E07" w:rsidRDefault="00723E07" w:rsidP="00723E07">
      <w:pPr>
        <w:autoSpaceDE w:val="0"/>
        <w:autoSpaceDN w:val="0"/>
        <w:adjustRightInd w:val="0"/>
        <w:spacing w:before="120" w:after="120" w:line="360" w:lineRule="auto"/>
        <w:ind w:firstLine="708"/>
        <w:jc w:val="both"/>
      </w:pPr>
      <w:r w:rsidRPr="003015C7">
        <w:t xml:space="preserve">Les infections entériques résultent de l’ingestion de micro-organismes pathogènes ou de leurs toxines </w:t>
      </w:r>
      <w:r w:rsidRPr="00CA1C8F">
        <w:rPr>
          <w:color w:val="0000FF"/>
        </w:rPr>
        <w:t xml:space="preserve">(Steer </w:t>
      </w:r>
      <w:r w:rsidRPr="008F25AB">
        <w:rPr>
          <w:i/>
          <w:iCs/>
          <w:color w:val="0000FF"/>
        </w:rPr>
        <w:t>et al</w:t>
      </w:r>
      <w:r w:rsidRPr="00CA1C8F">
        <w:rPr>
          <w:color w:val="0000FF"/>
        </w:rPr>
        <w:t>., 2000).</w:t>
      </w:r>
      <w:r w:rsidRPr="003015C7">
        <w:t xml:space="preserve"> Il existe une grande variété de bactéries, virus et parasites à l’origine des infections entériques </w:t>
      </w:r>
      <w:r w:rsidRPr="00CA1C8F">
        <w:rPr>
          <w:color w:val="0000FF"/>
        </w:rPr>
        <w:t xml:space="preserve">(Tableau </w:t>
      </w:r>
      <w:r>
        <w:rPr>
          <w:color w:val="0000FF"/>
        </w:rPr>
        <w:t>2</w:t>
      </w:r>
      <w:r w:rsidRPr="00CA1C8F">
        <w:rPr>
          <w:color w:val="0000FF"/>
        </w:rPr>
        <w:t>).</w:t>
      </w:r>
      <w:r w:rsidRPr="003015C7">
        <w:t xml:space="preserve"> </w:t>
      </w:r>
    </w:p>
    <w:p w:rsidR="00723E07" w:rsidRPr="003015C7" w:rsidRDefault="00723E07" w:rsidP="00723E07">
      <w:pPr>
        <w:autoSpaceDE w:val="0"/>
        <w:autoSpaceDN w:val="0"/>
        <w:adjustRightInd w:val="0"/>
        <w:spacing w:before="120" w:after="120" w:line="360" w:lineRule="auto"/>
        <w:ind w:firstLine="708"/>
        <w:jc w:val="both"/>
      </w:pPr>
      <w:r w:rsidRPr="00B70FAD">
        <w:rPr>
          <w:b/>
          <w:bCs/>
          <w:u w:val="single"/>
        </w:rPr>
        <w:t>Tableau</w:t>
      </w:r>
      <w:r>
        <w:rPr>
          <w:b/>
          <w:bCs/>
          <w:u w:val="single"/>
        </w:rPr>
        <w:t xml:space="preserve"> 2</w:t>
      </w:r>
      <w:r w:rsidRPr="00B70FAD">
        <w:rPr>
          <w:b/>
          <w:bCs/>
        </w:rPr>
        <w:t> :</w:t>
      </w:r>
      <w:r w:rsidRPr="004D7539">
        <w:t xml:space="preserve"> Principaux agents infectieux responsables d’infections entériques.</w:t>
      </w:r>
    </w:p>
    <w:p w:rsidR="00723E07" w:rsidRPr="003015C7" w:rsidRDefault="00723E07" w:rsidP="00723E07">
      <w:pPr>
        <w:autoSpaceDE w:val="0"/>
        <w:autoSpaceDN w:val="0"/>
        <w:adjustRightInd w:val="0"/>
        <w:spacing w:before="120" w:after="120" w:line="360" w:lineRule="auto"/>
        <w:ind w:firstLine="708"/>
        <w:jc w:val="both"/>
      </w:pPr>
      <w:r w:rsidRPr="00C055B9">
        <w:rPr>
          <w:noProof/>
        </w:rPr>
        <w:drawing>
          <wp:inline distT="0" distB="0" distL="0" distR="0">
            <wp:extent cx="4743450" cy="1943100"/>
            <wp:effectExtent l="19050" t="0" r="0" b="0"/>
            <wp:docPr id="12" name="Image 4" descr="24866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4866_10"/>
                    <pic:cNvPicPr>
                      <a:picLocks noChangeAspect="1" noChangeArrowheads="1"/>
                    </pic:cNvPicPr>
                  </pic:nvPicPr>
                  <pic:blipFill>
                    <a:blip r:embed="rId7"/>
                    <a:srcRect/>
                    <a:stretch>
                      <a:fillRect/>
                    </a:stretch>
                  </pic:blipFill>
                  <pic:spPr bwMode="auto">
                    <a:xfrm>
                      <a:off x="0" y="0"/>
                      <a:ext cx="4743450" cy="1943100"/>
                    </a:xfrm>
                    <a:prstGeom prst="rect">
                      <a:avLst/>
                    </a:prstGeom>
                    <a:noFill/>
                    <a:ln w="9525">
                      <a:noFill/>
                      <a:miter lim="800000"/>
                      <a:headEnd/>
                      <a:tailEnd/>
                    </a:ln>
                  </pic:spPr>
                </pic:pic>
              </a:graphicData>
            </a:graphic>
          </wp:inline>
        </w:drawing>
      </w:r>
    </w:p>
    <w:p w:rsidR="00723E07" w:rsidRPr="004D7539" w:rsidRDefault="00723E07" w:rsidP="00723E07">
      <w:pPr>
        <w:autoSpaceDE w:val="0"/>
        <w:autoSpaceDN w:val="0"/>
        <w:adjustRightInd w:val="0"/>
        <w:spacing w:before="120" w:after="120" w:line="360" w:lineRule="auto"/>
        <w:ind w:firstLine="708"/>
        <w:jc w:val="both"/>
      </w:pPr>
      <w:r w:rsidRPr="003015C7">
        <w:t>Ces principaux entéropathogènes sont capables d’envahir le tractus intestinal pour s’y multiplier et causer principalement des</w:t>
      </w:r>
      <w:r w:rsidRPr="00642043">
        <w:t xml:space="preserve"> </w:t>
      </w:r>
      <w:r w:rsidRPr="004D7539">
        <w:t>Inflammation du revêtement de l'estomac et des intestins,</w:t>
      </w:r>
      <w:r>
        <w:t xml:space="preserve"> qui</w:t>
      </w:r>
      <w:r w:rsidRPr="004D7539">
        <w:t xml:space="preserve"> se manifestant essentiellement par des symptômes digestifs supérieurs (anorexie, nausées, vomissements), une diarrhée et une gêne abdominale</w:t>
      </w:r>
      <w:r w:rsidRPr="003015C7">
        <w:t xml:space="preserve"> </w:t>
      </w:r>
      <w:r w:rsidRPr="00CA1C8F">
        <w:rPr>
          <w:color w:val="0000FF"/>
        </w:rPr>
        <w:t xml:space="preserve">(Steer </w:t>
      </w:r>
      <w:r w:rsidRPr="008F25AB">
        <w:rPr>
          <w:i/>
          <w:iCs/>
          <w:color w:val="0000FF"/>
        </w:rPr>
        <w:t>et al</w:t>
      </w:r>
      <w:r w:rsidRPr="00CA1C8F">
        <w:rPr>
          <w:color w:val="0000FF"/>
        </w:rPr>
        <w:t>., 2000).</w:t>
      </w:r>
    </w:p>
    <w:p w:rsidR="00723E07" w:rsidRPr="004D7539" w:rsidRDefault="00723E07" w:rsidP="00723E07">
      <w:pPr>
        <w:autoSpaceDE w:val="0"/>
        <w:autoSpaceDN w:val="0"/>
        <w:adjustRightInd w:val="0"/>
        <w:spacing w:before="120" w:after="120" w:line="360" w:lineRule="auto"/>
        <w:ind w:firstLine="708"/>
        <w:jc w:val="both"/>
      </w:pPr>
      <w:bookmarkStart w:id="0" w:name="1412"/>
      <w:bookmarkStart w:id="1" w:name="15297"/>
      <w:bookmarkStart w:id="2" w:name="1416"/>
      <w:bookmarkEnd w:id="0"/>
      <w:bookmarkEnd w:id="1"/>
      <w:bookmarkEnd w:id="2"/>
      <w:r w:rsidRPr="004D7539">
        <w:t xml:space="preserve">Les pertes hydro-électrolytiques associées à la gastro-entérite peuvent être supportées chez un adulte sain par ailleurs, mais peuvent avoir des conséquences graves chez des sujets moins capables d'en supporter les pertes (p. ex. personnes âgées, jeunes enfants, sujets débilités, ou avec certaines maladies concomitantes). </w:t>
      </w:r>
    </w:p>
    <w:p w:rsidR="00723E07" w:rsidRPr="008F25AB" w:rsidRDefault="00723E07" w:rsidP="00723E07">
      <w:pPr>
        <w:autoSpaceDE w:val="0"/>
        <w:autoSpaceDN w:val="0"/>
        <w:adjustRightInd w:val="0"/>
        <w:spacing w:before="120" w:after="120" w:line="360" w:lineRule="auto"/>
        <w:ind w:firstLine="708"/>
        <w:jc w:val="both"/>
        <w:rPr>
          <w:b/>
          <w:bCs/>
        </w:rPr>
      </w:pPr>
      <w:bookmarkStart w:id="3" w:name="1418"/>
      <w:bookmarkEnd w:id="3"/>
      <w:r w:rsidRPr="008F25AB">
        <w:rPr>
          <w:b/>
          <w:bCs/>
        </w:rPr>
        <w:t xml:space="preserve">II.1.2. Etiologie et épidémiologie </w:t>
      </w:r>
    </w:p>
    <w:p w:rsidR="00723E07" w:rsidRPr="004D7539" w:rsidRDefault="00723E07" w:rsidP="00723E07">
      <w:pPr>
        <w:autoSpaceDE w:val="0"/>
        <w:autoSpaceDN w:val="0"/>
        <w:adjustRightInd w:val="0"/>
        <w:spacing w:before="120" w:after="120" w:line="360" w:lineRule="auto"/>
        <w:ind w:firstLine="708"/>
        <w:jc w:val="both"/>
      </w:pPr>
      <w:bookmarkStart w:id="4" w:name="1420"/>
      <w:bookmarkEnd w:id="4"/>
      <w:r w:rsidRPr="004D7539">
        <w:t xml:space="preserve">La gastro-entérite peut avoir une étiologie non spécifique, incertaine ou inconnue ou encore une étiologie bactérienne, virale, parasitaire ou toxique. Quand une cause spécifique peut être identifiée, on peut utiliser le nom spécifique du syndrome, évitant ainsi le terme moins spécifique de « gastro-entérite ». </w:t>
      </w:r>
    </w:p>
    <w:p w:rsidR="00723E07" w:rsidRPr="004D7539" w:rsidRDefault="00723E07" w:rsidP="00723E07">
      <w:pPr>
        <w:autoSpaceDE w:val="0"/>
        <w:autoSpaceDN w:val="0"/>
        <w:adjustRightInd w:val="0"/>
        <w:spacing w:before="120" w:after="120" w:line="360" w:lineRule="auto"/>
        <w:ind w:firstLine="708"/>
        <w:jc w:val="both"/>
      </w:pPr>
      <w:bookmarkStart w:id="5" w:name="1422"/>
      <w:bookmarkEnd w:id="5"/>
      <w:r w:rsidRPr="004D7539">
        <w:lastRenderedPageBreak/>
        <w:t xml:space="preserve">L'infection à </w:t>
      </w:r>
      <w:r w:rsidRPr="008F25AB">
        <w:rPr>
          <w:i/>
          <w:iCs/>
        </w:rPr>
        <w:t>Campylobacter</w:t>
      </w:r>
      <w:r w:rsidRPr="004D7539">
        <w:t xml:space="preserve"> est considérée comme la cause bactérienne la plus fréquente des diarrhées aux USA </w:t>
      </w:r>
      <w:r w:rsidRPr="003015C7">
        <w:rPr>
          <w:color w:val="0000FF"/>
        </w:rPr>
        <w:t>(Lamps, 2008)</w:t>
      </w:r>
      <w:r w:rsidRPr="004D7539">
        <w:t xml:space="preserve">. La transmission interhumaine est particulièrement fréquente dans les gastro-entérites causées par </w:t>
      </w:r>
      <w:r w:rsidRPr="00760295">
        <w:rPr>
          <w:i/>
          <w:iCs/>
        </w:rPr>
        <w:t>Shigella</w:t>
      </w:r>
      <w:r w:rsidRPr="004D7539">
        <w:t xml:space="preserve">, Escherichia coli O157/H7, </w:t>
      </w:r>
      <w:r w:rsidRPr="008F25AB">
        <w:rPr>
          <w:i/>
          <w:iCs/>
        </w:rPr>
        <w:t>Giardia</w:t>
      </w:r>
      <w:r w:rsidRPr="004D7539">
        <w:t xml:space="preserve">, le virus Norwalk et les rotavirus. L'infection à </w:t>
      </w:r>
      <w:r w:rsidRPr="00760295">
        <w:rPr>
          <w:i/>
          <w:iCs/>
        </w:rPr>
        <w:t>Salmonella</w:t>
      </w:r>
      <w:r w:rsidRPr="004D7539">
        <w:t xml:space="preserve"> peut être acquise par contact avec des reptiles (p. ex. iguanes, tortues). </w:t>
      </w:r>
    </w:p>
    <w:p w:rsidR="00723E07" w:rsidRDefault="00723E07" w:rsidP="00723E07">
      <w:pPr>
        <w:autoSpaceDE w:val="0"/>
        <w:autoSpaceDN w:val="0"/>
        <w:adjustRightInd w:val="0"/>
        <w:spacing w:before="120" w:after="120" w:line="360" w:lineRule="auto"/>
        <w:ind w:firstLine="708"/>
        <w:jc w:val="both"/>
      </w:pPr>
      <w:bookmarkStart w:id="6" w:name="21612"/>
      <w:bookmarkEnd w:id="6"/>
      <w:r w:rsidRPr="004D7539">
        <w:t>Les causes virales de la gastro-entérite comprennent les virus Norwalk et les virus Norwalk-like, les rotavirus, les adénovirus, les astrovirus et les calicivirus. Des épidémies de diarrhée virale chez le nouveau-né, l'enfant et l'adulte, s'étendent habituellement par l'absorption d'eau ou d'aliments contaminés ou par voie oro-fécale.</w:t>
      </w:r>
    </w:p>
    <w:p w:rsidR="00723E07" w:rsidRDefault="00723E07" w:rsidP="00723E07">
      <w:pPr>
        <w:autoSpaceDE w:val="0"/>
        <w:autoSpaceDN w:val="0"/>
        <w:adjustRightInd w:val="0"/>
        <w:spacing w:before="120" w:after="120" w:line="360" w:lineRule="auto"/>
        <w:ind w:firstLine="708"/>
        <w:jc w:val="both"/>
      </w:pPr>
      <w:r w:rsidRPr="004D7539">
        <w:t xml:space="preserve">Les infections à virus Norwalk peuvent se produire tout au long de l'année et sont responsables d'environ 40 % des épidémies de gastro-entérite chez l'enfant et chez l'adulte. </w:t>
      </w:r>
    </w:p>
    <w:p w:rsidR="00723E07" w:rsidRPr="004D7539" w:rsidRDefault="00723E07" w:rsidP="00723E07">
      <w:pPr>
        <w:autoSpaceDE w:val="0"/>
        <w:autoSpaceDN w:val="0"/>
        <w:adjustRightInd w:val="0"/>
        <w:spacing w:before="120" w:after="120" w:line="360" w:lineRule="auto"/>
        <w:ind w:firstLine="708"/>
        <w:jc w:val="both"/>
      </w:pPr>
      <w:r w:rsidRPr="004D7539">
        <w:t xml:space="preserve">Dans les pays à climat tempéré, les rotavirus sont la principale cause des diarrhées graves de l'hiver qui aboutissent à une hospitalisation des enfants </w:t>
      </w:r>
      <w:r>
        <w:t xml:space="preserve">inférieurs à </w:t>
      </w:r>
      <w:r w:rsidRPr="004D7539">
        <w:t> </w:t>
      </w:r>
      <w:r>
        <w:t>deux</w:t>
      </w:r>
      <w:r w:rsidRPr="004D7539">
        <w:t xml:space="preserve"> ans. Les adultes, chez qui ces infections ont tendance à être plus bénignes, sont probablement partiellement immunisés. </w:t>
      </w:r>
    </w:p>
    <w:p w:rsidR="00723E07" w:rsidRDefault="00723E07" w:rsidP="00723E07">
      <w:pPr>
        <w:autoSpaceDE w:val="0"/>
        <w:autoSpaceDN w:val="0"/>
        <w:adjustRightInd w:val="0"/>
        <w:spacing w:before="120" w:after="120" w:line="360" w:lineRule="auto"/>
        <w:ind w:firstLine="708"/>
        <w:jc w:val="both"/>
      </w:pPr>
      <w:bookmarkStart w:id="7" w:name="1426"/>
      <w:bookmarkEnd w:id="7"/>
      <w:r w:rsidRPr="004D7539">
        <w:t xml:space="preserve">Certains parasites intestinaux, surtout </w:t>
      </w:r>
      <w:r w:rsidRPr="00471D69">
        <w:rPr>
          <w:i/>
          <w:iCs/>
        </w:rPr>
        <w:t>Giardia lamblia</w:t>
      </w:r>
      <w:r w:rsidRPr="004D7539">
        <w:t xml:space="preserve"> (v. Giardiase sous Protozoaires intestinaux) envahissent ou adhèrent à la muqueuse de l'intestin, en provoquant des nausées, des vomissements, des diarrhées et un malaise général. La giardiase est endémique dans de nombreuses régions à climat froid (p. ex. les Montagnes Rocheuses, le nord des USA et de l'Europe).</w:t>
      </w:r>
      <w:r>
        <w:t xml:space="preserve"> </w:t>
      </w:r>
      <w:r w:rsidRPr="004D7539">
        <w:t>La maladie peut devenir chronique et provoque</w:t>
      </w:r>
      <w:r>
        <w:t>r des syndromes de malabsorption</w:t>
      </w:r>
      <w:r w:rsidRPr="004D7539">
        <w:t xml:space="preserve">. Elle est habituellement acquise par transmission interhumaine (p. ex. en hôpital de jour) ou en buvant une eau contaminée (p. ex. des fleuves). </w:t>
      </w:r>
    </w:p>
    <w:p w:rsidR="00723E07" w:rsidRDefault="00723E07" w:rsidP="00723E07">
      <w:pPr>
        <w:autoSpaceDE w:val="0"/>
        <w:autoSpaceDN w:val="0"/>
        <w:adjustRightInd w:val="0"/>
        <w:spacing w:before="120" w:after="120" w:line="360" w:lineRule="auto"/>
        <w:ind w:firstLine="708"/>
        <w:jc w:val="both"/>
      </w:pPr>
      <w:r w:rsidRPr="004D7539">
        <w:t xml:space="preserve">Un autre parasite intestinal, le </w:t>
      </w:r>
      <w:r w:rsidRPr="00012A2D">
        <w:rPr>
          <w:i/>
          <w:iCs/>
        </w:rPr>
        <w:t>Cryptosporidium parvum</w:t>
      </w:r>
      <w:r w:rsidRPr="004D7539">
        <w:t>, est responsable d'une diarrhée aqueuse</w:t>
      </w:r>
      <w:r>
        <w:t>,</w:t>
      </w:r>
      <w:r w:rsidRPr="004D7539">
        <w:t xml:space="preserve"> qui est parfois accompagnée de douleurs abdominales à type de crampes, de nausées et de vomissements. Chez les personnes saines, la maladie est habituellement modérée et auto-limitée, mais chez les patients immunodéprimés, l'infection peut être grave, étant à l'origine d'une perte conséquente d'électrolytes et de liquides. </w:t>
      </w:r>
    </w:p>
    <w:p w:rsidR="00723E07" w:rsidRPr="004D7539" w:rsidRDefault="00723E07" w:rsidP="00723E07">
      <w:pPr>
        <w:autoSpaceDE w:val="0"/>
        <w:autoSpaceDN w:val="0"/>
        <w:adjustRightInd w:val="0"/>
        <w:spacing w:before="120" w:after="120" w:line="360" w:lineRule="auto"/>
        <w:ind w:firstLine="708"/>
        <w:jc w:val="both"/>
      </w:pPr>
      <w:r w:rsidRPr="004D7539">
        <w:t xml:space="preserve">L'infection à </w:t>
      </w:r>
      <w:r w:rsidRPr="00012A2D">
        <w:rPr>
          <w:i/>
          <w:iCs/>
        </w:rPr>
        <w:t>Cryptosporidium</w:t>
      </w:r>
      <w:r w:rsidRPr="004D7539">
        <w:t xml:space="preserve"> est probablement acquise en buvant de l'eau contaminée. Bien que les oocytes de </w:t>
      </w:r>
      <w:r w:rsidRPr="00012A2D">
        <w:rPr>
          <w:i/>
          <w:iCs/>
        </w:rPr>
        <w:t>Cryptosporidium</w:t>
      </w:r>
      <w:r w:rsidRPr="004D7539">
        <w:t xml:space="preserve"> soient fréquemment retrouvés </w:t>
      </w:r>
      <w:r w:rsidRPr="004D7539">
        <w:lastRenderedPageBreak/>
        <w:t xml:space="preserve">dans les adductions d'eau, on ne connaît pas la proportion de ces eaux contaminées par les oocytes infectieux et viables. </w:t>
      </w:r>
    </w:p>
    <w:p w:rsidR="00723E07" w:rsidRPr="004D7539" w:rsidRDefault="00723E07" w:rsidP="00723E07">
      <w:pPr>
        <w:autoSpaceDE w:val="0"/>
        <w:autoSpaceDN w:val="0"/>
        <w:adjustRightInd w:val="0"/>
        <w:spacing w:before="120" w:after="120" w:line="360" w:lineRule="auto"/>
        <w:ind w:firstLine="708"/>
        <w:jc w:val="both"/>
      </w:pPr>
      <w:bookmarkStart w:id="8" w:name="1428"/>
      <w:bookmarkEnd w:id="8"/>
      <w:r w:rsidRPr="004D7539">
        <w:t xml:space="preserve">Les entérites virales ou grippes intestinales et certains types de diarrhée du voyageur peuvent être causés par des entérotoxines bactériennes ou par des infections virales. </w:t>
      </w:r>
    </w:p>
    <w:p w:rsidR="00723E07" w:rsidRPr="00187526" w:rsidRDefault="00723E07" w:rsidP="00723E07">
      <w:pPr>
        <w:autoSpaceDE w:val="0"/>
        <w:autoSpaceDN w:val="0"/>
        <w:adjustRightInd w:val="0"/>
        <w:spacing w:before="120" w:after="120" w:line="360" w:lineRule="auto"/>
        <w:ind w:firstLine="708"/>
        <w:jc w:val="both"/>
        <w:rPr>
          <w:b/>
          <w:bCs/>
        </w:rPr>
      </w:pPr>
      <w:bookmarkStart w:id="9" w:name="1430"/>
      <w:bookmarkEnd w:id="9"/>
      <w:r w:rsidRPr="00187526">
        <w:rPr>
          <w:b/>
          <w:bCs/>
        </w:rPr>
        <w:t>II.1.3.</w:t>
      </w:r>
      <w:r>
        <w:rPr>
          <w:b/>
          <w:bCs/>
        </w:rPr>
        <w:t xml:space="preserve"> </w:t>
      </w:r>
      <w:r w:rsidRPr="00187526">
        <w:rPr>
          <w:b/>
          <w:bCs/>
        </w:rPr>
        <w:t xml:space="preserve">Physiopathologie </w:t>
      </w:r>
    </w:p>
    <w:p w:rsidR="00723E07" w:rsidRDefault="00723E07" w:rsidP="00723E07">
      <w:pPr>
        <w:autoSpaceDE w:val="0"/>
        <w:autoSpaceDN w:val="0"/>
        <w:adjustRightInd w:val="0"/>
        <w:spacing w:before="120" w:after="120" w:line="360" w:lineRule="auto"/>
        <w:ind w:firstLine="708"/>
        <w:jc w:val="both"/>
      </w:pPr>
      <w:bookmarkStart w:id="10" w:name="1432"/>
      <w:bookmarkEnd w:id="10"/>
      <w:r w:rsidRPr="004D7539">
        <w:t xml:space="preserve">Certaines espèces bactériennes sécrètent des entérotoxines, qui inhibent l'absorption intestinale et peuvent provoquer une sécrétion d'eau et d'électrolytes. Dans certains cas, on a pu individualiser une toxine chimiquement pure (p. ex. l'entérotoxine de </w:t>
      </w:r>
      <w:r w:rsidRPr="00187526">
        <w:rPr>
          <w:i/>
          <w:iCs/>
        </w:rPr>
        <w:t>Vibrio cholerae</w:t>
      </w:r>
      <w:r w:rsidRPr="004D7539">
        <w:t xml:space="preserve">) ; la toxine pure provoque à elle seule une sécrétion aqueuse considérable de l'intestin grêle analogue à celle observée cliniquement, apportant la preuve du mécanisme pathogénique de la diarrhée. </w:t>
      </w:r>
    </w:p>
    <w:p w:rsidR="00723E07" w:rsidRPr="004D7539" w:rsidRDefault="00723E07" w:rsidP="00723E07">
      <w:pPr>
        <w:autoSpaceDE w:val="0"/>
        <w:autoSpaceDN w:val="0"/>
        <w:adjustRightInd w:val="0"/>
        <w:spacing w:before="120" w:after="120" w:line="360" w:lineRule="auto"/>
        <w:ind w:firstLine="708"/>
        <w:jc w:val="both"/>
      </w:pPr>
      <w:r w:rsidRPr="004D7539">
        <w:t>Des entérotoxines expliquent alors probablement d'autres syndromes diarrhéiques (p. ex. l'entérotoxine d'</w:t>
      </w:r>
      <w:r w:rsidRPr="00187526">
        <w:rPr>
          <w:i/>
          <w:iCs/>
        </w:rPr>
        <w:t xml:space="preserve">E. coli </w:t>
      </w:r>
      <w:r w:rsidRPr="004D7539">
        <w:t xml:space="preserve">peut être à l'origine de certaines épidémies de « diarrhée des pouponnières » ou de diarrhée des voyageurs). </w:t>
      </w:r>
    </w:p>
    <w:p w:rsidR="00723E07" w:rsidRPr="004D7539" w:rsidRDefault="00723E07" w:rsidP="00723E07">
      <w:pPr>
        <w:autoSpaceDE w:val="0"/>
        <w:autoSpaceDN w:val="0"/>
        <w:adjustRightInd w:val="0"/>
        <w:spacing w:before="120" w:after="120" w:line="360" w:lineRule="auto"/>
        <w:ind w:firstLine="708"/>
        <w:jc w:val="both"/>
      </w:pPr>
      <w:bookmarkStart w:id="11" w:name="1434"/>
      <w:bookmarkEnd w:id="11"/>
      <w:r w:rsidRPr="004D7539">
        <w:t xml:space="preserve">Certaines espèces de </w:t>
      </w:r>
      <w:r w:rsidRPr="00187526">
        <w:rPr>
          <w:i/>
          <w:iCs/>
        </w:rPr>
        <w:t>Shigella</w:t>
      </w:r>
      <w:r w:rsidRPr="004D7539">
        <w:t xml:space="preserve">, </w:t>
      </w:r>
      <w:r w:rsidRPr="00187526">
        <w:rPr>
          <w:i/>
          <w:iCs/>
        </w:rPr>
        <w:t>Salmonella</w:t>
      </w:r>
      <w:r w:rsidRPr="004D7539">
        <w:t>, et d'</w:t>
      </w:r>
      <w:r w:rsidRPr="00187526">
        <w:rPr>
          <w:i/>
          <w:iCs/>
        </w:rPr>
        <w:t>E. coli</w:t>
      </w:r>
      <w:r w:rsidRPr="004D7539">
        <w:t xml:space="preserve"> pénètrent la muqueuse de l'intestin grêle ou du côlon, provoquant des ulcérations microscopiques, des saignements, une exsudation de liquides riches en protéines et une sécrétion d'électrolytes et d'eau. Le processus invasif et ses conséquences peuvent survenir, qu'il y ait ou non production d'entérotoxine. </w:t>
      </w:r>
    </w:p>
    <w:p w:rsidR="00723E07" w:rsidRPr="004D7539" w:rsidRDefault="00723E07" w:rsidP="00723E07">
      <w:pPr>
        <w:autoSpaceDE w:val="0"/>
        <w:autoSpaceDN w:val="0"/>
        <w:adjustRightInd w:val="0"/>
        <w:spacing w:before="120" w:after="120" w:line="360" w:lineRule="auto"/>
        <w:ind w:firstLine="708"/>
        <w:jc w:val="both"/>
      </w:pPr>
      <w:bookmarkStart w:id="12" w:name="1436"/>
      <w:bookmarkEnd w:id="12"/>
      <w:r w:rsidRPr="004D7539">
        <w:t xml:space="preserve">L'ingestion de toxines chimiques contenues dans certains végétaux (p. ex. champignons, pommes de terre, fleurs de jardin), fruits de mer (poissons, palourdes, moules) ou aliments contaminés, peut être à l'origine d'une gastro-entérite. </w:t>
      </w:r>
    </w:p>
    <w:p w:rsidR="00723E07" w:rsidRPr="004D7539" w:rsidRDefault="00723E07" w:rsidP="00723E07">
      <w:pPr>
        <w:autoSpaceDE w:val="0"/>
        <w:autoSpaceDN w:val="0"/>
        <w:adjustRightInd w:val="0"/>
        <w:spacing w:before="120" w:after="120" w:line="360" w:lineRule="auto"/>
        <w:ind w:firstLine="708"/>
        <w:jc w:val="both"/>
      </w:pPr>
      <w:bookmarkStart w:id="13" w:name="1438"/>
      <w:bookmarkEnd w:id="13"/>
      <w:r w:rsidRPr="004D7539">
        <w:t xml:space="preserve">L'ingestion de métaux lourds (arsenic, plomb, Hg, cadmium) peut être à l'origine de troubles aigus à type de nausées, vomissements et diarrhée. De nombreux médicaments, dont les antibiotiques à large spectre, ont des effets secondaires digestifs très importants. Différents mécanismes jouent un rôle, dont l'altération de la flore intestinale normale. </w:t>
      </w:r>
    </w:p>
    <w:p w:rsidR="00723E07" w:rsidRPr="00166225" w:rsidRDefault="00723E07" w:rsidP="00723E07">
      <w:pPr>
        <w:autoSpaceDE w:val="0"/>
        <w:autoSpaceDN w:val="0"/>
        <w:adjustRightInd w:val="0"/>
        <w:spacing w:before="120" w:after="120" w:line="360" w:lineRule="auto"/>
        <w:ind w:firstLine="708"/>
        <w:jc w:val="both"/>
        <w:rPr>
          <w:b/>
          <w:bCs/>
        </w:rPr>
      </w:pPr>
      <w:bookmarkStart w:id="14" w:name="1440"/>
      <w:bookmarkEnd w:id="14"/>
      <w:r w:rsidRPr="00166225">
        <w:rPr>
          <w:b/>
          <w:bCs/>
        </w:rPr>
        <w:t>II.1.4.</w:t>
      </w:r>
      <w:r>
        <w:rPr>
          <w:b/>
          <w:bCs/>
        </w:rPr>
        <w:t xml:space="preserve"> </w:t>
      </w:r>
      <w:r w:rsidRPr="00166225">
        <w:rPr>
          <w:b/>
          <w:bCs/>
        </w:rPr>
        <w:t xml:space="preserve">Symptomatologie </w:t>
      </w:r>
    </w:p>
    <w:p w:rsidR="00723E07" w:rsidRPr="004D7539" w:rsidRDefault="00723E07" w:rsidP="00723E07">
      <w:pPr>
        <w:autoSpaceDE w:val="0"/>
        <w:autoSpaceDN w:val="0"/>
        <w:adjustRightInd w:val="0"/>
        <w:spacing w:before="120" w:after="120" w:line="360" w:lineRule="auto"/>
        <w:ind w:firstLine="708"/>
        <w:jc w:val="both"/>
      </w:pPr>
      <w:bookmarkStart w:id="15" w:name="1442"/>
      <w:bookmarkEnd w:id="15"/>
      <w:r w:rsidRPr="004D7539">
        <w:t xml:space="preserve">Le caractère et la gravité des symptômes dépendent de la nature de l'agent causal, de sa durée d'action, de la résistance du sujet et de l'étendue de l'atteinte digestive. Le début est souvent brutal et parfois spectaculaire, avec anorexie, nausées ou </w:t>
      </w:r>
      <w:r w:rsidRPr="004D7539">
        <w:lastRenderedPageBreak/>
        <w:t xml:space="preserve">vomissements, gargouillements, douleurs abdominales à type de crampes et diarrhée (avec ou sans mucus et sang). Il peut s'y associer un malaise général, des myalgies et un état de prostration. </w:t>
      </w:r>
    </w:p>
    <w:p w:rsidR="00723E07" w:rsidRPr="004D7539" w:rsidRDefault="00723E07" w:rsidP="00723E07">
      <w:pPr>
        <w:autoSpaceDE w:val="0"/>
        <w:autoSpaceDN w:val="0"/>
        <w:adjustRightInd w:val="0"/>
        <w:spacing w:before="120" w:after="120" w:line="360" w:lineRule="auto"/>
        <w:ind w:firstLine="708"/>
        <w:jc w:val="both"/>
      </w:pPr>
      <w:bookmarkStart w:id="16" w:name="1444"/>
      <w:bookmarkEnd w:id="16"/>
      <w:r w:rsidRPr="004D7539">
        <w:t>En cas de pertes hydriques excessives du fait des vomissements, une alcalose métabolique avec hypochlorémie est observée ; si la diarrhée prédomine, l'acidose est plus probable. La diarrhée ou les vomissements excessifs peuvent ê</w:t>
      </w:r>
      <w:r>
        <w:t>tre responsables d'hypokaliémie</w:t>
      </w:r>
      <w:r w:rsidRPr="004D7539">
        <w:t xml:space="preserve">. Une déshydratation et un déséquilibre acido-basique sévères peuvent provoquer des céphalées et des manifestations d'hyperexcitabilité musculaire et nerveuse. La persistance des vomissements et de la diarrhée entraîne une déshydratation sévère avec état de choc, collapsus vasculaire et insuffisance rénale oligurique. </w:t>
      </w:r>
    </w:p>
    <w:p w:rsidR="00723E07" w:rsidRDefault="00723E07" w:rsidP="00723E07">
      <w:pPr>
        <w:autoSpaceDE w:val="0"/>
        <w:autoSpaceDN w:val="0"/>
        <w:adjustRightInd w:val="0"/>
        <w:spacing w:before="120" w:after="120" w:line="360" w:lineRule="auto"/>
        <w:ind w:firstLine="708"/>
        <w:jc w:val="both"/>
      </w:pPr>
      <w:bookmarkStart w:id="17" w:name="38157"/>
      <w:bookmarkEnd w:id="17"/>
      <w:r w:rsidRPr="004D7539">
        <w:t xml:space="preserve">L'abdomen peut être ballonné et sensible à la palpation ; dans les cas graves, il peut présenter une défense musculaire. Les anses intestinales distendues par les gaz sont visibles et palpables. </w:t>
      </w:r>
    </w:p>
    <w:p w:rsidR="00723E07" w:rsidRPr="004D7539" w:rsidRDefault="00723E07" w:rsidP="00723E07">
      <w:pPr>
        <w:autoSpaceDE w:val="0"/>
        <w:autoSpaceDN w:val="0"/>
        <w:adjustRightInd w:val="0"/>
        <w:spacing w:before="120" w:after="120" w:line="360" w:lineRule="auto"/>
        <w:ind w:firstLine="708"/>
        <w:jc w:val="both"/>
      </w:pPr>
      <w:r w:rsidRPr="004D7539">
        <w:t>Les borborygmes sont audibles au stéthoscope, même s'il n'y a pas de diarrhée (permettant d'éliminer l'iléus paralytique). Il y a parfois des signes de déshydratation extracellulaire (p</w:t>
      </w:r>
      <w:r>
        <w:t>. ex. hypotension, tachycardie).</w:t>
      </w:r>
    </w:p>
    <w:p w:rsidR="00723E07" w:rsidRPr="00187526" w:rsidRDefault="00723E07" w:rsidP="00723E07">
      <w:pPr>
        <w:autoSpaceDE w:val="0"/>
        <w:autoSpaceDN w:val="0"/>
        <w:adjustRightInd w:val="0"/>
        <w:spacing w:before="120" w:after="120" w:line="360" w:lineRule="auto"/>
        <w:ind w:firstLine="708"/>
        <w:jc w:val="both"/>
        <w:rPr>
          <w:b/>
          <w:bCs/>
        </w:rPr>
      </w:pPr>
      <w:bookmarkStart w:id="18" w:name="1448"/>
      <w:bookmarkEnd w:id="18"/>
      <w:r w:rsidRPr="00187526">
        <w:rPr>
          <w:b/>
          <w:bCs/>
        </w:rPr>
        <w:t>II.1.5.</w:t>
      </w:r>
      <w:r>
        <w:rPr>
          <w:b/>
          <w:bCs/>
        </w:rPr>
        <w:t xml:space="preserve"> </w:t>
      </w:r>
      <w:r w:rsidRPr="00187526">
        <w:rPr>
          <w:b/>
          <w:bCs/>
        </w:rPr>
        <w:t xml:space="preserve">Diagnostic </w:t>
      </w:r>
    </w:p>
    <w:p w:rsidR="00723E07" w:rsidRDefault="00723E07" w:rsidP="00723E07">
      <w:pPr>
        <w:autoSpaceDE w:val="0"/>
        <w:autoSpaceDN w:val="0"/>
        <w:adjustRightInd w:val="0"/>
        <w:spacing w:before="120" w:after="120" w:line="360" w:lineRule="auto"/>
        <w:ind w:firstLine="708"/>
        <w:jc w:val="both"/>
      </w:pPr>
      <w:bookmarkStart w:id="19" w:name="1450"/>
      <w:bookmarkEnd w:id="19"/>
      <w:r w:rsidRPr="004D7539">
        <w:t>Des antécédents d'ingestion d'aliments susceptibles d'être contaminés, d'eau de surface non traitée ou d'un irritant connu du tube digestif ; des voyages effectués récemment ; et des contacts avec des personnes atteintes des mêmes anomalies sont des éléments importants de l'anamnèse. La coproculture doi</w:t>
      </w:r>
      <w:r>
        <w:t>t</w:t>
      </w:r>
      <w:r w:rsidRPr="004D7539">
        <w:t xml:space="preserve"> être pratiqué</w:t>
      </w:r>
      <w:r>
        <w:t>e</w:t>
      </w:r>
      <w:r w:rsidRPr="004D7539">
        <w:t xml:space="preserve"> si les troubles n'ont pas disparu dans les 48 h. </w:t>
      </w:r>
    </w:p>
    <w:p w:rsidR="00723E07" w:rsidRPr="004D7539" w:rsidRDefault="00723E07" w:rsidP="00723E07">
      <w:pPr>
        <w:autoSpaceDE w:val="0"/>
        <w:autoSpaceDN w:val="0"/>
        <w:adjustRightInd w:val="0"/>
        <w:spacing w:before="120" w:after="120" w:line="360" w:lineRule="auto"/>
        <w:ind w:firstLine="708"/>
        <w:jc w:val="both"/>
      </w:pPr>
      <w:r w:rsidRPr="004D7539">
        <w:t>La sigmoïdoscopie permet de faire le diagnostic de rectocolite hémorragique et de dysenterie amibienne, mais la shigellose et l'</w:t>
      </w:r>
      <w:r w:rsidRPr="00187526">
        <w:rPr>
          <w:i/>
          <w:iCs/>
        </w:rPr>
        <w:t>E. coli</w:t>
      </w:r>
      <w:r w:rsidRPr="004D7539">
        <w:t xml:space="preserve"> O157/H7 peuvent provoquer des lésions coliques impossibles à différencier de celles de la rectocolite hémorragique. Le diagnostic peut également nécessiter la mise en culture des vomissements, des aliments et du sang. Une hyper-éosinophilie peut révéler une infection parasitaire. </w:t>
      </w:r>
    </w:p>
    <w:p w:rsidR="00723E07" w:rsidRDefault="00723E07" w:rsidP="00723E07">
      <w:pPr>
        <w:autoSpaceDE w:val="0"/>
        <w:autoSpaceDN w:val="0"/>
        <w:adjustRightInd w:val="0"/>
        <w:spacing w:before="120" w:after="120" w:line="360" w:lineRule="auto"/>
        <w:ind w:firstLine="708"/>
        <w:jc w:val="both"/>
      </w:pPr>
      <w:bookmarkStart w:id="20" w:name="1452"/>
      <w:bookmarkEnd w:id="20"/>
      <w:r w:rsidRPr="004D7539">
        <w:t xml:space="preserve">Un abdomen chirurgical aigu est habituellement exclu par la notion de selles fréquentes, une numération leucocytaire basse ou normale et l'absence de spasmes musculaires et de douleurs localisées. </w:t>
      </w:r>
    </w:p>
    <w:tbl>
      <w:tblPr>
        <w:tblW w:w="0" w:type="auto"/>
        <w:tblCellSpacing w:w="15" w:type="dxa"/>
        <w:tblCellMar>
          <w:top w:w="15" w:type="dxa"/>
          <w:left w:w="15" w:type="dxa"/>
          <w:bottom w:w="15" w:type="dxa"/>
          <w:right w:w="15" w:type="dxa"/>
        </w:tblCellMar>
        <w:tblLook w:val="0000"/>
      </w:tblPr>
      <w:tblGrid>
        <w:gridCol w:w="8594"/>
      </w:tblGrid>
      <w:tr w:rsidR="00723E07" w:rsidRPr="003015C7" w:rsidTr="00AC7634">
        <w:trPr>
          <w:tblCellSpacing w:w="15" w:type="dxa"/>
        </w:trPr>
        <w:tc>
          <w:tcPr>
            <w:tcW w:w="0" w:type="auto"/>
            <w:vAlign w:val="center"/>
          </w:tcPr>
          <w:p w:rsidR="00723E07" w:rsidRPr="003015C7" w:rsidRDefault="00723E07" w:rsidP="00AC7634">
            <w:pPr>
              <w:autoSpaceDE w:val="0"/>
              <w:autoSpaceDN w:val="0"/>
              <w:adjustRightInd w:val="0"/>
              <w:spacing w:before="120" w:after="120" w:line="360" w:lineRule="auto"/>
              <w:ind w:firstLine="708"/>
              <w:jc w:val="both"/>
            </w:pPr>
            <w:r w:rsidRPr="004D7539">
              <w:t>Cependant, une diarrhée est parfois observée dans l'appendicite aiguë, la sub</w:t>
            </w:r>
            <w:r>
              <w:t>-</w:t>
            </w:r>
            <w:r w:rsidRPr="004D7539">
              <w:lastRenderedPageBreak/>
              <w:t xml:space="preserve">occlusion de l'intestin grêle, d'autres urgences intra-abdominales aiguës et les tumeurs malignes du côlon. </w:t>
            </w:r>
          </w:p>
        </w:tc>
      </w:tr>
    </w:tbl>
    <w:p w:rsidR="00723E07" w:rsidRDefault="00723E07" w:rsidP="00723E07">
      <w:pPr>
        <w:autoSpaceDE w:val="0"/>
        <w:autoSpaceDN w:val="0"/>
        <w:adjustRightInd w:val="0"/>
        <w:spacing w:before="120" w:after="120" w:line="360" w:lineRule="auto"/>
        <w:ind w:firstLine="708"/>
        <w:jc w:val="both"/>
        <w:rPr>
          <w:b/>
          <w:bCs/>
        </w:rPr>
      </w:pPr>
      <w:r w:rsidRPr="00166225">
        <w:rPr>
          <w:b/>
          <w:bCs/>
        </w:rPr>
        <w:lastRenderedPageBreak/>
        <w:t>II.2.</w:t>
      </w:r>
      <w:r w:rsidRPr="00166225">
        <w:rPr>
          <w:b/>
          <w:bCs/>
          <w:sz w:val="28"/>
          <w:szCs w:val="28"/>
        </w:rPr>
        <w:t xml:space="preserve"> </w:t>
      </w:r>
      <w:r w:rsidRPr="00166225">
        <w:rPr>
          <w:b/>
          <w:bCs/>
        </w:rPr>
        <w:t>Infections d’origine bactérienne</w:t>
      </w:r>
    </w:p>
    <w:p w:rsidR="00723E07" w:rsidRPr="00166225" w:rsidRDefault="00723E07" w:rsidP="00723E07">
      <w:pPr>
        <w:autoSpaceDE w:val="0"/>
        <w:autoSpaceDN w:val="0"/>
        <w:adjustRightInd w:val="0"/>
        <w:spacing w:before="120" w:after="120" w:line="360" w:lineRule="auto"/>
        <w:ind w:firstLine="708"/>
        <w:jc w:val="both"/>
        <w:rPr>
          <w:b/>
          <w:bCs/>
        </w:rPr>
      </w:pPr>
      <w:r w:rsidRPr="00166225">
        <w:rPr>
          <w:b/>
          <w:bCs/>
        </w:rPr>
        <w:t>II.2.</w:t>
      </w:r>
      <w:r>
        <w:rPr>
          <w:b/>
          <w:bCs/>
        </w:rPr>
        <w:t xml:space="preserve"> </w:t>
      </w:r>
      <w:r w:rsidRPr="00166225">
        <w:rPr>
          <w:b/>
          <w:bCs/>
        </w:rPr>
        <w:t xml:space="preserve">Les </w:t>
      </w:r>
      <w:r w:rsidRPr="00B70668">
        <w:rPr>
          <w:b/>
          <w:bCs/>
          <w:i/>
          <w:iCs/>
        </w:rPr>
        <w:t xml:space="preserve">Listeria </w:t>
      </w:r>
    </w:p>
    <w:p w:rsidR="00723E07" w:rsidRPr="003015C7" w:rsidRDefault="00723E07" w:rsidP="00723E07">
      <w:pPr>
        <w:pStyle w:val="NormalWeb"/>
        <w:spacing w:before="120" w:beforeAutospacing="0" w:after="120" w:afterAutospacing="0"/>
        <w:ind w:firstLine="708"/>
        <w:jc w:val="both"/>
        <w:rPr>
          <w:b/>
          <w:bCs/>
        </w:rPr>
      </w:pPr>
      <w:r w:rsidRPr="00166225">
        <w:rPr>
          <w:b/>
          <w:bCs/>
        </w:rPr>
        <w:t>II.2.1.</w:t>
      </w:r>
      <w:r>
        <w:rPr>
          <w:b/>
          <w:bCs/>
        </w:rPr>
        <w:t xml:space="preserve"> </w:t>
      </w:r>
      <w:r w:rsidRPr="00166225">
        <w:rPr>
          <w:b/>
          <w:bCs/>
        </w:rPr>
        <w:t>Historique</w:t>
      </w:r>
      <w:r w:rsidRPr="003015C7">
        <w:rPr>
          <w:b/>
          <w:bCs/>
        </w:rPr>
        <w:t xml:space="preserve"> </w:t>
      </w:r>
    </w:p>
    <w:p w:rsidR="00723E07" w:rsidRPr="003015C7" w:rsidRDefault="00723E07" w:rsidP="00723E07">
      <w:pPr>
        <w:autoSpaceDE w:val="0"/>
        <w:autoSpaceDN w:val="0"/>
        <w:adjustRightInd w:val="0"/>
        <w:spacing w:before="120" w:after="120" w:line="360" w:lineRule="auto"/>
        <w:ind w:firstLine="708"/>
        <w:jc w:val="both"/>
        <w:rPr>
          <w:color w:val="FF0000"/>
        </w:rPr>
      </w:pPr>
      <w:r w:rsidRPr="00B70668">
        <w:rPr>
          <w:i/>
          <w:iCs/>
        </w:rPr>
        <w:t xml:space="preserve">Listeria </w:t>
      </w:r>
      <w:r w:rsidRPr="003015C7">
        <w:rPr>
          <w:i/>
          <w:iCs/>
        </w:rPr>
        <w:t xml:space="preserve"> monocytogenes </w:t>
      </w:r>
      <w:r w:rsidRPr="003015C7">
        <w:t xml:space="preserve">est l'agent causal de la listériose humaine et animale, décrite pour la première fois en 1926 par Murray </w:t>
      </w:r>
      <w:r w:rsidRPr="003015C7">
        <w:rPr>
          <w:i/>
          <w:iCs/>
        </w:rPr>
        <w:t>et al</w:t>
      </w:r>
      <w:r w:rsidRPr="003015C7">
        <w:t xml:space="preserve">. Assez fréquemment reconnue comme responsable d'infections chez l'animal, elle fut pratiquement ignorée par le milieu médical jusqu'en 1960, date à partir de la quelle elle fut isolée de plus en plus dans les prélèvements pathologiques humaines. Ce n'est qu'à partir de 1981 que le rôle des aliments dans la transmission de la maladie a été reconnu (contamination par ingestion de chou rouge </w:t>
      </w:r>
    </w:p>
    <w:p w:rsidR="00723E07" w:rsidRPr="003015C7" w:rsidRDefault="00723E07" w:rsidP="00723E07">
      <w:pPr>
        <w:autoSpaceDE w:val="0"/>
        <w:autoSpaceDN w:val="0"/>
        <w:adjustRightInd w:val="0"/>
        <w:spacing w:before="120" w:after="120" w:line="360" w:lineRule="auto"/>
        <w:jc w:val="both"/>
        <w:rPr>
          <w:b/>
          <w:bCs/>
          <w:color w:val="FF0000"/>
        </w:rPr>
      </w:pPr>
      <w:r w:rsidRPr="008A703E">
        <w:rPr>
          <w:b/>
          <w:bCs/>
        </w:rPr>
        <w:t>II.2.2.</w:t>
      </w:r>
      <w:r>
        <w:rPr>
          <w:b/>
          <w:bCs/>
        </w:rPr>
        <w:t xml:space="preserve"> </w:t>
      </w:r>
      <w:r w:rsidRPr="00813107">
        <w:rPr>
          <w:b/>
          <w:bCs/>
        </w:rPr>
        <w:t>Écologie</w:t>
      </w:r>
    </w:p>
    <w:p w:rsidR="00723E07" w:rsidRDefault="00723E07" w:rsidP="00723E07">
      <w:pPr>
        <w:autoSpaceDE w:val="0"/>
        <w:autoSpaceDN w:val="0"/>
        <w:adjustRightInd w:val="0"/>
        <w:spacing w:before="120" w:after="120" w:line="360" w:lineRule="auto"/>
        <w:ind w:firstLine="708"/>
        <w:jc w:val="both"/>
        <w:rPr>
          <w:rFonts w:asciiTheme="majorBidi" w:hAnsiTheme="majorBidi" w:cstheme="majorBidi"/>
        </w:rPr>
      </w:pPr>
      <w:r w:rsidRPr="00EA312E">
        <w:rPr>
          <w:rFonts w:asciiTheme="majorBidi" w:hAnsiTheme="majorBidi" w:cstheme="majorBidi"/>
        </w:rPr>
        <w:t xml:space="preserve">Les </w:t>
      </w:r>
      <w:r w:rsidRPr="00B70668">
        <w:rPr>
          <w:rFonts w:asciiTheme="majorBidi" w:hAnsiTheme="majorBidi" w:cstheme="majorBidi"/>
          <w:i/>
          <w:iCs/>
        </w:rPr>
        <w:t xml:space="preserve">Listeria </w:t>
      </w:r>
      <w:r w:rsidRPr="00EA312E">
        <w:rPr>
          <w:rFonts w:asciiTheme="majorBidi" w:hAnsiTheme="majorBidi" w:cstheme="majorBidi"/>
        </w:rPr>
        <w:t xml:space="preserve"> sont des bactéries très résistantes, En effet, elles peuvent se multiplier dans des solutions concentrées en sel (&gt;10% en chlorure de sodium) ou en présence de bile.</w:t>
      </w:r>
    </w:p>
    <w:p w:rsidR="00723E07" w:rsidRPr="003015C7" w:rsidRDefault="00723E07" w:rsidP="00723E07">
      <w:pPr>
        <w:autoSpaceDE w:val="0"/>
        <w:autoSpaceDN w:val="0"/>
        <w:adjustRightInd w:val="0"/>
        <w:spacing w:before="120" w:after="120" w:line="360" w:lineRule="auto"/>
        <w:ind w:firstLine="708"/>
        <w:jc w:val="both"/>
        <w:rPr>
          <w:color w:val="FF0000"/>
        </w:rPr>
      </w:pPr>
      <w:r w:rsidRPr="003015C7">
        <w:t xml:space="preserve">Elles peuvent croître dans des milieux présentant un pH compris entre 5 et 9.6, avec un optimum à pH neutre ou légèrement alcalin et dans une zone de température de -2 à </w:t>
      </w:r>
      <w:smartTag w:uri="urn:schemas-microsoft-com:office:smarttags" w:element="metricconverter">
        <w:smartTagPr>
          <w:attr w:name="ProductID" w:val="됈"/>
        </w:smartTagPr>
        <w:r w:rsidRPr="003015C7">
          <w:t>45°C</w:t>
        </w:r>
      </w:smartTag>
      <w:r w:rsidRPr="003015C7">
        <w:t xml:space="preserve"> avec un optimum entre 30 et 37°C. Elles peuvent donc se reproduire aux températures de réfrigération</w:t>
      </w:r>
      <w:r w:rsidRPr="003015C7">
        <w:rPr>
          <w:color w:val="FF0000"/>
        </w:rPr>
        <w:t xml:space="preserve">. </w:t>
      </w:r>
    </w:p>
    <w:p w:rsidR="00723E07" w:rsidRPr="003015C7" w:rsidRDefault="00723E07" w:rsidP="00723E07">
      <w:pPr>
        <w:autoSpaceDE w:val="0"/>
        <w:autoSpaceDN w:val="0"/>
        <w:adjustRightInd w:val="0"/>
        <w:spacing w:before="120" w:after="120" w:line="360" w:lineRule="auto"/>
        <w:ind w:firstLine="708"/>
        <w:jc w:val="both"/>
      </w:pPr>
      <w:r w:rsidRPr="003015C7">
        <w:t xml:space="preserve">Les </w:t>
      </w:r>
      <w:r w:rsidRPr="00B70668">
        <w:rPr>
          <w:i/>
          <w:iCs/>
        </w:rPr>
        <w:t xml:space="preserve">Listeria </w:t>
      </w:r>
      <w:r w:rsidRPr="003015C7">
        <w:t xml:space="preserve"> ont été isolées dans le sol, les plantes, les fourrages, les ensilages, les boues, les eaux de rivières et de lacs, les eaux d’égouts. La capacité des </w:t>
      </w:r>
      <w:r w:rsidRPr="00B70668">
        <w:rPr>
          <w:i/>
          <w:iCs/>
        </w:rPr>
        <w:t xml:space="preserve">Listeria </w:t>
      </w:r>
      <w:r w:rsidRPr="003015C7">
        <w:t xml:space="preserve"> à survivre dans l’environnement a été montrée notamment que les </w:t>
      </w:r>
      <w:r w:rsidRPr="00B70668">
        <w:rPr>
          <w:i/>
          <w:iCs/>
        </w:rPr>
        <w:t xml:space="preserve">Listeria </w:t>
      </w:r>
      <w:r w:rsidRPr="003015C7">
        <w:t xml:space="preserve"> survivaient dans les boues pendant au moins huit semaines.</w:t>
      </w:r>
    </w:p>
    <w:p w:rsidR="00723E07" w:rsidRPr="003015C7" w:rsidRDefault="00723E07" w:rsidP="00723E07">
      <w:pPr>
        <w:autoSpaceDE w:val="0"/>
        <w:autoSpaceDN w:val="0"/>
        <w:adjustRightInd w:val="0"/>
        <w:spacing w:before="120" w:after="120" w:line="360" w:lineRule="auto"/>
        <w:ind w:firstLine="708"/>
        <w:jc w:val="both"/>
      </w:pPr>
      <w:r w:rsidRPr="003015C7">
        <w:t>Actuellement on distingue 7 espèces différentes dans le genre</w:t>
      </w:r>
      <w:r>
        <w:t> :</w:t>
      </w:r>
      <w:r w:rsidRPr="003015C7">
        <w:t xml:space="preserve"> </w:t>
      </w:r>
      <w:r w:rsidRPr="00B70668">
        <w:rPr>
          <w:i/>
          <w:iCs/>
        </w:rPr>
        <w:t>Listeria</w:t>
      </w:r>
      <w:r>
        <w:rPr>
          <w:i/>
          <w:iCs/>
        </w:rPr>
        <w:t xml:space="preserve"> </w:t>
      </w:r>
      <w:r w:rsidRPr="003015C7">
        <w:rPr>
          <w:i/>
          <w:iCs/>
        </w:rPr>
        <w:t>monocytogenes</w:t>
      </w:r>
      <w:r w:rsidRPr="003015C7">
        <w:t xml:space="preserve">,   </w:t>
      </w:r>
      <w:r w:rsidRPr="003015C7">
        <w:rPr>
          <w:i/>
          <w:iCs/>
        </w:rPr>
        <w:t>innocua</w:t>
      </w:r>
      <w:r w:rsidRPr="003015C7">
        <w:t xml:space="preserve">,   </w:t>
      </w:r>
      <w:r w:rsidRPr="003015C7">
        <w:rPr>
          <w:i/>
          <w:iCs/>
        </w:rPr>
        <w:t>ivanoii</w:t>
      </w:r>
      <w:r w:rsidRPr="003015C7">
        <w:t xml:space="preserve"> </w:t>
      </w:r>
      <w:r w:rsidRPr="003015C7">
        <w:rPr>
          <w:i/>
          <w:iCs/>
        </w:rPr>
        <w:t>subsp</w:t>
      </w:r>
      <w:r w:rsidRPr="003015C7">
        <w:t xml:space="preserve"> </w:t>
      </w:r>
      <w:r w:rsidRPr="003015C7">
        <w:rPr>
          <w:i/>
          <w:iCs/>
        </w:rPr>
        <w:t>ivanoii</w:t>
      </w:r>
      <w:r w:rsidRPr="003015C7">
        <w:t xml:space="preserve">,   </w:t>
      </w:r>
      <w:r w:rsidRPr="003015C7">
        <w:rPr>
          <w:i/>
          <w:iCs/>
        </w:rPr>
        <w:t>ivanoii</w:t>
      </w:r>
      <w:r w:rsidRPr="003015C7">
        <w:t xml:space="preserve"> </w:t>
      </w:r>
      <w:r w:rsidRPr="003015C7">
        <w:rPr>
          <w:i/>
          <w:iCs/>
        </w:rPr>
        <w:t>subsp</w:t>
      </w:r>
      <w:r w:rsidRPr="003015C7">
        <w:t xml:space="preserve"> </w:t>
      </w:r>
      <w:r w:rsidRPr="003015C7">
        <w:rPr>
          <w:i/>
          <w:iCs/>
        </w:rPr>
        <w:t>londoniensis</w:t>
      </w:r>
      <w:r w:rsidRPr="003015C7">
        <w:t xml:space="preserve">,   </w:t>
      </w:r>
      <w:r w:rsidRPr="003015C7">
        <w:rPr>
          <w:i/>
          <w:iCs/>
        </w:rPr>
        <w:t>grayi</w:t>
      </w:r>
      <w:r w:rsidRPr="003015C7">
        <w:t xml:space="preserve">,   </w:t>
      </w:r>
      <w:r w:rsidRPr="003015C7">
        <w:rPr>
          <w:i/>
          <w:iCs/>
        </w:rPr>
        <w:t>seeligeri</w:t>
      </w:r>
      <w:r w:rsidRPr="003015C7">
        <w:t xml:space="preserve">,   </w:t>
      </w:r>
      <w:r w:rsidRPr="003015C7">
        <w:rPr>
          <w:i/>
          <w:iCs/>
        </w:rPr>
        <w:t>welshimeri</w:t>
      </w:r>
      <w:r w:rsidRPr="003015C7">
        <w:t xml:space="preserve">. </w:t>
      </w:r>
    </w:p>
    <w:p w:rsidR="00723E07" w:rsidRPr="00331CF4" w:rsidRDefault="00723E07" w:rsidP="00723E07">
      <w:pPr>
        <w:spacing w:line="360" w:lineRule="auto"/>
      </w:pPr>
      <w:r w:rsidRPr="003015C7">
        <w:t xml:space="preserve"> Les seules espèces pathogènes sont </w:t>
      </w:r>
      <w:r w:rsidRPr="00CC4071">
        <w:rPr>
          <w:i/>
          <w:iCs/>
        </w:rPr>
        <w:t xml:space="preserve">L. monocytogenes  </w:t>
      </w:r>
      <w:r w:rsidRPr="003015C7">
        <w:t xml:space="preserve">(pathogènes pour les animaux et l’homme) et </w:t>
      </w:r>
      <w:r w:rsidRPr="003015C7">
        <w:rPr>
          <w:i/>
          <w:iCs/>
        </w:rPr>
        <w:t xml:space="preserve">L. ivanoii </w:t>
      </w:r>
      <w:r w:rsidRPr="003015C7">
        <w:t>(rarement responsable d’infection, chez les animaux seulement).</w:t>
      </w:r>
    </w:p>
    <w:p w:rsidR="00723E07" w:rsidRPr="003015C7" w:rsidRDefault="00723E07" w:rsidP="00723E07">
      <w:pPr>
        <w:autoSpaceDE w:val="0"/>
        <w:autoSpaceDN w:val="0"/>
        <w:adjustRightInd w:val="0"/>
        <w:spacing w:before="120" w:after="120" w:line="360" w:lineRule="auto"/>
        <w:ind w:firstLine="708"/>
        <w:jc w:val="both"/>
      </w:pPr>
      <w:r w:rsidRPr="003015C7">
        <w:t xml:space="preserve">Les </w:t>
      </w:r>
      <w:r w:rsidRPr="00B70668">
        <w:rPr>
          <w:i/>
          <w:iCs/>
        </w:rPr>
        <w:t xml:space="preserve">Listeria </w:t>
      </w:r>
      <w:r w:rsidRPr="003015C7">
        <w:t xml:space="preserve"> ont été isolées chez de nombreuses espèces de mammifères et d’oiseaux. Chez les animaux, comme chez l’homme, il existe des porteurs sains. </w:t>
      </w:r>
    </w:p>
    <w:p w:rsidR="00723E07" w:rsidRPr="00CC4071" w:rsidRDefault="00723E07" w:rsidP="00723E07">
      <w:pPr>
        <w:autoSpaceDE w:val="0"/>
        <w:autoSpaceDN w:val="0"/>
        <w:adjustRightInd w:val="0"/>
        <w:spacing w:before="120" w:after="120" w:line="360" w:lineRule="auto"/>
        <w:ind w:firstLine="708"/>
        <w:jc w:val="both"/>
        <w:rPr>
          <w:b/>
          <w:bCs/>
        </w:rPr>
      </w:pPr>
      <w:r w:rsidRPr="008A703E">
        <w:rPr>
          <w:b/>
          <w:bCs/>
        </w:rPr>
        <w:lastRenderedPageBreak/>
        <w:t>II.2.</w:t>
      </w:r>
      <w:r>
        <w:rPr>
          <w:b/>
          <w:bCs/>
        </w:rPr>
        <w:t>3</w:t>
      </w:r>
      <w:r w:rsidRPr="008A703E">
        <w:rPr>
          <w:b/>
          <w:bCs/>
        </w:rPr>
        <w:t>.</w:t>
      </w:r>
      <w:r>
        <w:rPr>
          <w:b/>
          <w:bCs/>
        </w:rPr>
        <w:t xml:space="preserve"> </w:t>
      </w:r>
      <w:r w:rsidRPr="00CC4071">
        <w:rPr>
          <w:b/>
          <w:bCs/>
        </w:rPr>
        <w:t>Caractères morphologiques et biochimiques</w:t>
      </w:r>
    </w:p>
    <w:p w:rsidR="00723E07" w:rsidRPr="003015C7" w:rsidRDefault="00723E07" w:rsidP="00723E07">
      <w:pPr>
        <w:autoSpaceDE w:val="0"/>
        <w:autoSpaceDN w:val="0"/>
        <w:adjustRightInd w:val="0"/>
        <w:spacing w:before="120" w:after="120" w:line="360" w:lineRule="auto"/>
        <w:jc w:val="both"/>
      </w:pPr>
      <w:r w:rsidRPr="003015C7">
        <w:t> </w:t>
      </w:r>
      <w:r>
        <w:tab/>
      </w:r>
      <w:r w:rsidRPr="003015C7">
        <w:t xml:space="preserve">Les </w:t>
      </w:r>
      <w:r w:rsidRPr="00B70668">
        <w:rPr>
          <w:i/>
          <w:iCs/>
        </w:rPr>
        <w:t xml:space="preserve">Listeria </w:t>
      </w:r>
      <w:r w:rsidRPr="003015C7">
        <w:t xml:space="preserve"> sont de petits bacilles Gram positif : catalase positive,   aérobies,   aux extrémités arrondies,  non sporulés,  non acido-alcoolo résistants,  sans granulations métachromiques ni capsule. </w:t>
      </w:r>
    </w:p>
    <w:p w:rsidR="00723E07" w:rsidRDefault="00723E07" w:rsidP="00723E07">
      <w:pPr>
        <w:autoSpaceDE w:val="0"/>
        <w:autoSpaceDN w:val="0"/>
        <w:adjustRightInd w:val="0"/>
        <w:spacing w:before="120" w:after="120" w:line="360" w:lineRule="auto"/>
        <w:ind w:firstLine="708"/>
        <w:jc w:val="both"/>
        <w:rPr>
          <w:color w:val="FF0000"/>
        </w:rPr>
      </w:pPr>
      <w:r w:rsidRPr="003015C7">
        <w:t xml:space="preserve">Elles ont un diamètre de 0,4 à 0,5 µm et une longueur de 0,5 à 2 µm. Elles sont mobiles à </w:t>
      </w:r>
      <w:smartTag w:uri="urn:schemas-microsoft-com:office:smarttags" w:element="metricconverter">
        <w:smartTagPr>
          <w:attr w:name="ProductID" w:val="20ﾰC"/>
        </w:smartTagPr>
        <w:r w:rsidRPr="003015C7">
          <w:t>20°C</w:t>
        </w:r>
      </w:smartTag>
      <w:r w:rsidRPr="003015C7">
        <w:t xml:space="preserve"> grâce à 1-4 flagelles d’implantation péritriche, mais ne sont pas ou peu mobiles à </w:t>
      </w:r>
      <w:smartTag w:uri="urn:schemas-microsoft-com:office:smarttags" w:element="metricconverter">
        <w:smartTagPr>
          <w:attr w:name="ProductID" w:val="37ﾰC"/>
        </w:smartTagPr>
        <w:r w:rsidRPr="003015C7">
          <w:t>37°C</w:t>
        </w:r>
      </w:smartTag>
      <w:r w:rsidRPr="003015C7">
        <w:t>.</w:t>
      </w:r>
    </w:p>
    <w:p w:rsidR="00723E07" w:rsidRPr="003015C7" w:rsidRDefault="00723E07" w:rsidP="00723E07">
      <w:pPr>
        <w:autoSpaceDE w:val="0"/>
        <w:autoSpaceDN w:val="0"/>
        <w:adjustRightInd w:val="0"/>
        <w:spacing w:before="120" w:after="120" w:line="360" w:lineRule="auto"/>
        <w:ind w:firstLine="708"/>
        <w:jc w:val="both"/>
        <w:rPr>
          <w:color w:val="FF0000"/>
        </w:rPr>
      </w:pPr>
      <w:r w:rsidRPr="003015C7">
        <w:t xml:space="preserve">Les différentes espèces de </w:t>
      </w:r>
      <w:r w:rsidRPr="00B70668">
        <w:rPr>
          <w:i/>
          <w:iCs/>
        </w:rPr>
        <w:t xml:space="preserve">Listeria </w:t>
      </w:r>
      <w:r w:rsidRPr="003015C7">
        <w:t xml:space="preserve"> se différencient par un petit nombre de caractères biochimiques : L’hémolyse,  sur milieux solides cont</w:t>
      </w:r>
      <w:r>
        <w:t>enant 5% de sang, les espèces</w:t>
      </w:r>
      <w:r w:rsidRPr="003015C7">
        <w:t xml:space="preserve"> </w:t>
      </w:r>
      <w:r w:rsidRPr="003015C7">
        <w:rPr>
          <w:i/>
          <w:iCs/>
        </w:rPr>
        <w:t>L. monocytogenes</w:t>
      </w:r>
      <w:r w:rsidRPr="003015C7">
        <w:t xml:space="preserve">, </w:t>
      </w:r>
      <w:r w:rsidRPr="003015C7">
        <w:rPr>
          <w:i/>
          <w:iCs/>
        </w:rPr>
        <w:t>L. ivanoii</w:t>
      </w:r>
      <w:r w:rsidRPr="003015C7">
        <w:t xml:space="preserve"> et </w:t>
      </w:r>
      <w:r w:rsidRPr="003015C7">
        <w:rPr>
          <w:i/>
          <w:iCs/>
        </w:rPr>
        <w:t>L. seeligeri</w:t>
      </w:r>
      <w:r w:rsidRPr="003015C7">
        <w:t xml:space="preserve"> produisent une zone de bêta hémolyse.</w:t>
      </w:r>
    </w:p>
    <w:p w:rsidR="00723E07" w:rsidRPr="003015C7" w:rsidRDefault="00723E07" w:rsidP="00723E07">
      <w:pPr>
        <w:autoSpaceDE w:val="0"/>
        <w:autoSpaceDN w:val="0"/>
        <w:adjustRightInd w:val="0"/>
        <w:spacing w:before="120" w:after="120" w:line="360" w:lineRule="auto"/>
        <w:ind w:firstLine="708"/>
        <w:jc w:val="both"/>
      </w:pPr>
      <w:r w:rsidRPr="003015C7">
        <w:t xml:space="preserve">La virulence de </w:t>
      </w:r>
      <w:r w:rsidRPr="00CC4071">
        <w:rPr>
          <w:i/>
          <w:iCs/>
        </w:rPr>
        <w:t xml:space="preserve">L. monocytogenes  </w:t>
      </w:r>
      <w:r w:rsidRPr="003015C7">
        <w:t xml:space="preserve">tient à sa capacité à pénétrer dans les cellules, à s’y multiplier et à se propager ensuite dans les tissus en passant directement d’une cellule à l’autre. </w:t>
      </w:r>
    </w:p>
    <w:p w:rsidR="00723E07" w:rsidRPr="005E7442" w:rsidRDefault="00723E07" w:rsidP="00723E07">
      <w:pPr>
        <w:pStyle w:val="NormalWeb"/>
        <w:spacing w:before="120" w:beforeAutospacing="0" w:after="120" w:afterAutospacing="0"/>
        <w:ind w:firstLine="708"/>
        <w:jc w:val="both"/>
        <w:rPr>
          <w:b/>
          <w:bCs/>
        </w:rPr>
      </w:pPr>
      <w:r w:rsidRPr="008A703E">
        <w:rPr>
          <w:b/>
          <w:bCs/>
        </w:rPr>
        <w:t>II.2.</w:t>
      </w:r>
      <w:r>
        <w:rPr>
          <w:b/>
          <w:bCs/>
        </w:rPr>
        <w:t>4</w:t>
      </w:r>
      <w:r w:rsidRPr="008A703E">
        <w:rPr>
          <w:b/>
          <w:bCs/>
        </w:rPr>
        <w:t>.</w:t>
      </w:r>
      <w:r>
        <w:rPr>
          <w:b/>
          <w:bCs/>
        </w:rPr>
        <w:t xml:space="preserve"> </w:t>
      </w:r>
      <w:r w:rsidRPr="005E7442">
        <w:rPr>
          <w:b/>
          <w:bCs/>
          <w:i/>
          <w:iCs/>
        </w:rPr>
        <w:t xml:space="preserve">Listeria </w:t>
      </w:r>
      <w:r w:rsidRPr="005E7442">
        <w:rPr>
          <w:b/>
          <w:bCs/>
        </w:rPr>
        <w:t xml:space="preserve"> et</w:t>
      </w:r>
      <w:r w:rsidRPr="005E7442">
        <w:rPr>
          <w:b/>
          <w:bCs/>
          <w:i/>
          <w:iCs/>
        </w:rPr>
        <w:t xml:space="preserve"> </w:t>
      </w:r>
      <w:r w:rsidRPr="005E7442">
        <w:rPr>
          <w:b/>
          <w:bCs/>
        </w:rPr>
        <w:t>aliments</w:t>
      </w:r>
    </w:p>
    <w:p w:rsidR="00723E07" w:rsidRPr="00723F43" w:rsidRDefault="00723E07" w:rsidP="00723E07">
      <w:pPr>
        <w:spacing w:before="120" w:after="120" w:line="360" w:lineRule="auto"/>
        <w:ind w:firstLine="708"/>
        <w:jc w:val="both"/>
        <w:rPr>
          <w:rFonts w:asciiTheme="majorBidi" w:hAnsiTheme="majorBidi" w:cstheme="majorBidi"/>
        </w:rPr>
      </w:pPr>
      <w:r w:rsidRPr="00723F43">
        <w:rPr>
          <w:rFonts w:asciiTheme="majorBidi" w:hAnsiTheme="majorBidi" w:cstheme="majorBidi"/>
        </w:rPr>
        <w:t xml:space="preserve">En raison de leur résistance les </w:t>
      </w:r>
      <w:r w:rsidRPr="00723F43">
        <w:rPr>
          <w:rFonts w:asciiTheme="majorBidi" w:hAnsiTheme="majorBidi" w:cstheme="majorBidi"/>
          <w:i/>
          <w:iCs/>
        </w:rPr>
        <w:t xml:space="preserve">Listeria </w:t>
      </w:r>
      <w:r w:rsidRPr="00723F43">
        <w:rPr>
          <w:rFonts w:asciiTheme="majorBidi" w:hAnsiTheme="majorBidi" w:cstheme="majorBidi"/>
        </w:rPr>
        <w:t xml:space="preserve"> et en particulier </w:t>
      </w:r>
      <w:r w:rsidRPr="00723F43">
        <w:rPr>
          <w:rFonts w:asciiTheme="majorBidi" w:hAnsiTheme="majorBidi" w:cstheme="majorBidi"/>
          <w:i/>
          <w:iCs/>
        </w:rPr>
        <w:t>L. monocytogenes</w:t>
      </w:r>
      <w:r w:rsidRPr="00723F43">
        <w:rPr>
          <w:rFonts w:asciiTheme="majorBidi" w:hAnsiTheme="majorBidi" w:cstheme="majorBidi"/>
        </w:rPr>
        <w:t>, peuvent se retrouver dans les matières premières et les produits transformés ainsi que dans les ateliers de fabrication.</w:t>
      </w:r>
    </w:p>
    <w:p w:rsidR="00723E07" w:rsidRPr="003015C7" w:rsidRDefault="00723E07" w:rsidP="00723E07">
      <w:pPr>
        <w:pStyle w:val="NormalWeb"/>
        <w:spacing w:before="120" w:beforeAutospacing="0" w:after="120" w:afterAutospacing="0" w:line="360" w:lineRule="auto"/>
        <w:ind w:firstLine="708"/>
        <w:jc w:val="both"/>
      </w:pPr>
      <w:r w:rsidRPr="003015C7">
        <w:t xml:space="preserve">Avec la mise en place des contrôles obligatoires des aliments, de nombreuses recherches ont porté sur : </w:t>
      </w:r>
    </w:p>
    <w:p w:rsidR="00723E07" w:rsidRDefault="00723E07" w:rsidP="00723E07">
      <w:pPr>
        <w:pStyle w:val="Paragraphedeliste"/>
        <w:numPr>
          <w:ilvl w:val="0"/>
          <w:numId w:val="29"/>
        </w:numPr>
        <w:autoSpaceDE w:val="0"/>
        <w:autoSpaceDN w:val="0"/>
        <w:adjustRightInd w:val="0"/>
        <w:spacing w:before="120" w:after="120" w:line="360" w:lineRule="auto"/>
        <w:jc w:val="both"/>
      </w:pPr>
      <w:r w:rsidRPr="003015C7">
        <w:t xml:space="preserve">La fréquence de contamination et le comportement de </w:t>
      </w:r>
      <w:r w:rsidRPr="005E7442">
        <w:rPr>
          <w:i/>
          <w:iCs/>
        </w:rPr>
        <w:t xml:space="preserve">L. monocytogenes  </w:t>
      </w:r>
      <w:r w:rsidRPr="003015C7">
        <w:t>dans les aliments</w:t>
      </w:r>
      <w:r>
        <w:t>.</w:t>
      </w:r>
    </w:p>
    <w:p w:rsidR="00723E07" w:rsidRPr="003015C7" w:rsidRDefault="00723E07" w:rsidP="00723E07">
      <w:pPr>
        <w:pStyle w:val="Paragraphedeliste"/>
        <w:numPr>
          <w:ilvl w:val="0"/>
          <w:numId w:val="29"/>
        </w:numPr>
        <w:autoSpaceDE w:val="0"/>
        <w:autoSpaceDN w:val="0"/>
        <w:adjustRightInd w:val="0"/>
        <w:spacing w:before="120" w:after="120" w:line="360" w:lineRule="auto"/>
        <w:jc w:val="both"/>
      </w:pPr>
      <w:r w:rsidRPr="003015C7">
        <w:t xml:space="preserve"> </w:t>
      </w:r>
      <w:r>
        <w:t>L</w:t>
      </w:r>
      <w:r w:rsidRPr="003015C7">
        <w:t>es méthodes d’isolement et de détection</w:t>
      </w:r>
      <w:r>
        <w:t>.</w:t>
      </w:r>
      <w:r w:rsidRPr="003015C7">
        <w:t xml:space="preserve"> </w:t>
      </w:r>
    </w:p>
    <w:p w:rsidR="00723E07" w:rsidRPr="003015C7" w:rsidRDefault="00723E07" w:rsidP="00723E07">
      <w:pPr>
        <w:pStyle w:val="Paragraphedeliste"/>
        <w:numPr>
          <w:ilvl w:val="0"/>
          <w:numId w:val="29"/>
        </w:numPr>
        <w:autoSpaceDE w:val="0"/>
        <w:autoSpaceDN w:val="0"/>
        <w:adjustRightInd w:val="0"/>
        <w:spacing w:before="120" w:after="120" w:line="360" w:lineRule="auto"/>
        <w:jc w:val="both"/>
      </w:pPr>
      <w:r>
        <w:t>L</w:t>
      </w:r>
      <w:r w:rsidRPr="003015C7">
        <w:t xml:space="preserve">’effet des agents physiques, chimiques et biologiques sur </w:t>
      </w:r>
      <w:r w:rsidRPr="005E7442">
        <w:rPr>
          <w:i/>
          <w:iCs/>
        </w:rPr>
        <w:t>L. monocytogenes</w:t>
      </w:r>
      <w:r w:rsidRPr="003015C7">
        <w:br/>
      </w:r>
      <w:r>
        <w:t>L</w:t>
      </w:r>
      <w:r w:rsidRPr="003015C7">
        <w:t>es moyens de prévenir une contamination au niveau du site de fabrication (mise en place d’une démarche assurance qualité).</w:t>
      </w:r>
    </w:p>
    <w:p w:rsidR="00723E07" w:rsidRPr="003015C7" w:rsidRDefault="00723E07" w:rsidP="00723E07">
      <w:pPr>
        <w:autoSpaceDE w:val="0"/>
        <w:autoSpaceDN w:val="0"/>
        <w:adjustRightInd w:val="0"/>
        <w:spacing w:before="120" w:after="120" w:line="360" w:lineRule="auto"/>
        <w:ind w:firstLine="708"/>
        <w:jc w:val="both"/>
      </w:pPr>
      <w:r w:rsidRPr="00CC4071">
        <w:rPr>
          <w:i/>
          <w:iCs/>
        </w:rPr>
        <w:t xml:space="preserve">L. monocytogenes  </w:t>
      </w:r>
      <w:r w:rsidRPr="003015C7">
        <w:t>résiste au froid mais est sensible à la chaleur. Or</w:t>
      </w:r>
      <w:r>
        <w:t>,</w:t>
      </w:r>
      <w:r w:rsidRPr="003015C7">
        <w:t xml:space="preserve"> parmi les aliments les plus fréquemment contaminés par </w:t>
      </w:r>
      <w:r w:rsidRPr="005E7442">
        <w:rPr>
          <w:i/>
          <w:iCs/>
        </w:rPr>
        <w:t>L. monocytogenes</w:t>
      </w:r>
      <w:r w:rsidRPr="003015C7">
        <w:t xml:space="preserve">, certains sont consommés sans cuisson. Les produits les plus sensibles sont ceux qui ont une durée de vie longue et qui peuvent être consommés sans être chauffés (produits laitiers, charcuterie et produits de la pêche). </w:t>
      </w:r>
    </w:p>
    <w:p w:rsidR="00723E07" w:rsidRPr="003015C7" w:rsidRDefault="00723E07" w:rsidP="00723E07">
      <w:pPr>
        <w:autoSpaceDE w:val="0"/>
        <w:autoSpaceDN w:val="0"/>
        <w:adjustRightInd w:val="0"/>
        <w:spacing w:before="120" w:after="120" w:line="360" w:lineRule="auto"/>
        <w:ind w:firstLine="708"/>
        <w:jc w:val="both"/>
      </w:pPr>
      <w:r w:rsidRPr="003015C7">
        <w:lastRenderedPageBreak/>
        <w:t xml:space="preserve">Toutes les espèces de </w:t>
      </w:r>
      <w:r w:rsidRPr="00B70668">
        <w:rPr>
          <w:i/>
          <w:iCs/>
        </w:rPr>
        <w:t xml:space="preserve">Listeria </w:t>
      </w:r>
      <w:r w:rsidRPr="003015C7">
        <w:t xml:space="preserve"> ont été isolées d’aliments avec des fréquences variables. Ainsi </w:t>
      </w:r>
      <w:r w:rsidRPr="00CC4071">
        <w:rPr>
          <w:i/>
          <w:iCs/>
        </w:rPr>
        <w:t xml:space="preserve">L. monocytogenes  </w:t>
      </w:r>
      <w:r w:rsidRPr="003015C7">
        <w:t xml:space="preserve">et </w:t>
      </w:r>
      <w:r w:rsidRPr="003015C7">
        <w:rPr>
          <w:i/>
          <w:iCs/>
        </w:rPr>
        <w:t>L. innocua</w:t>
      </w:r>
      <w:r w:rsidRPr="003015C7">
        <w:t xml:space="preserve"> sont les espèces les plus fréquemment retrouvées, alors que </w:t>
      </w:r>
      <w:r w:rsidRPr="003015C7">
        <w:rPr>
          <w:i/>
          <w:iCs/>
        </w:rPr>
        <w:t>L. ivanovii</w:t>
      </w:r>
      <w:r w:rsidRPr="003015C7">
        <w:t xml:space="preserve"> et </w:t>
      </w:r>
      <w:r w:rsidRPr="003015C7">
        <w:rPr>
          <w:i/>
          <w:iCs/>
        </w:rPr>
        <w:t>L. grayi</w:t>
      </w:r>
      <w:r w:rsidRPr="003015C7">
        <w:t xml:space="preserve"> sont très rares. </w:t>
      </w:r>
    </w:p>
    <w:p w:rsidR="00723E07" w:rsidRDefault="00723E07" w:rsidP="00723E07">
      <w:pPr>
        <w:autoSpaceDE w:val="0"/>
        <w:autoSpaceDN w:val="0"/>
        <w:adjustRightInd w:val="0"/>
        <w:spacing w:before="120" w:after="120" w:line="360" w:lineRule="auto"/>
        <w:ind w:firstLine="708"/>
        <w:jc w:val="both"/>
      </w:pPr>
      <w:r w:rsidRPr="003015C7">
        <w:t xml:space="preserve">A la suite des épidémies en Suisse et en Californie pour lesquelles les investigations épidémiologiques avaient impliqué des fromages, l’industrie laitière et les produits laitiers ont fait l’objet les premiers, de nombreuses études. </w:t>
      </w:r>
    </w:p>
    <w:p w:rsidR="00723E07" w:rsidRPr="003015C7" w:rsidRDefault="00723E07" w:rsidP="00723E07">
      <w:pPr>
        <w:autoSpaceDE w:val="0"/>
        <w:autoSpaceDN w:val="0"/>
        <w:adjustRightInd w:val="0"/>
        <w:spacing w:before="120" w:after="120" w:line="360" w:lineRule="auto"/>
        <w:ind w:firstLine="708"/>
        <w:jc w:val="both"/>
      </w:pPr>
      <w:r w:rsidRPr="003015C7">
        <w:t xml:space="preserve">On a retrouvé les </w:t>
      </w:r>
      <w:r w:rsidRPr="00B70668">
        <w:rPr>
          <w:i/>
          <w:iCs/>
        </w:rPr>
        <w:t xml:space="preserve">Listeria </w:t>
      </w:r>
      <w:r w:rsidRPr="003015C7">
        <w:t xml:space="preserve"> dans de nombreux produits laitiers (lait cru, fromages, beurre et yaourts). Mais les </w:t>
      </w:r>
      <w:r w:rsidRPr="00B70668">
        <w:rPr>
          <w:i/>
          <w:iCs/>
        </w:rPr>
        <w:t xml:space="preserve">Listeria </w:t>
      </w:r>
      <w:r w:rsidRPr="003015C7">
        <w:t xml:space="preserve"> se retrouvent également dans d’autres catégories d’aliments (viandes, produits carnés, légumes tels que radis, concombre, pomme de terre, chou, et éventuellement les produits de la mer).</w:t>
      </w:r>
    </w:p>
    <w:p w:rsidR="00723E07" w:rsidRDefault="00723E07" w:rsidP="00723E07">
      <w:pPr>
        <w:autoSpaceDE w:val="0"/>
        <w:autoSpaceDN w:val="0"/>
        <w:adjustRightInd w:val="0"/>
        <w:spacing w:before="120" w:after="120" w:line="360" w:lineRule="auto"/>
        <w:ind w:firstLine="708"/>
        <w:jc w:val="both"/>
      </w:pPr>
      <w:r w:rsidRPr="003015C7">
        <w:t xml:space="preserve">Les </w:t>
      </w:r>
      <w:r w:rsidRPr="00B70668">
        <w:rPr>
          <w:i/>
          <w:iCs/>
        </w:rPr>
        <w:t xml:space="preserve">Listeria </w:t>
      </w:r>
      <w:r w:rsidRPr="003015C7">
        <w:t xml:space="preserve"> résistent à la pasteurisation. Elles se développent à la température du réfrigérateur. Elles survivent à la congélation et sont détruites par la cuisson.</w:t>
      </w:r>
    </w:p>
    <w:p w:rsidR="00723E07" w:rsidRPr="003015C7" w:rsidRDefault="00723E07" w:rsidP="00723E07">
      <w:pPr>
        <w:autoSpaceDE w:val="0"/>
        <w:autoSpaceDN w:val="0"/>
        <w:adjustRightInd w:val="0"/>
        <w:spacing w:before="120" w:after="120" w:line="360" w:lineRule="auto"/>
        <w:ind w:firstLine="708"/>
        <w:jc w:val="both"/>
      </w:pPr>
      <w:r w:rsidRPr="003015C7">
        <w:t xml:space="preserve">Pour certaines matières premières, la contamination par </w:t>
      </w:r>
      <w:r w:rsidRPr="00CC4071">
        <w:rPr>
          <w:i/>
          <w:iCs/>
        </w:rPr>
        <w:t xml:space="preserve">L. monocytogenes  </w:t>
      </w:r>
      <w:r w:rsidRPr="003015C7">
        <w:t xml:space="preserve">est pratiquement inévitable. Des traitements listéricides doivent être mis en place sur le produit brut et en cours de sa transformation. Mais la plupart des problèmes dans l’industrie viennent du fait que </w:t>
      </w:r>
      <w:r w:rsidRPr="00CC4071">
        <w:rPr>
          <w:i/>
          <w:iCs/>
        </w:rPr>
        <w:t xml:space="preserve">L. monocytogenes  </w:t>
      </w:r>
      <w:r w:rsidRPr="003015C7">
        <w:t>peut trouver dans les unités de transformation des conditions de survie ou de développement de nature à permettre la contamination des produits fabriqués.</w:t>
      </w:r>
    </w:p>
    <w:p w:rsidR="00723E07" w:rsidRPr="003015C7" w:rsidRDefault="00723E07" w:rsidP="00723E07">
      <w:pPr>
        <w:autoSpaceDE w:val="0"/>
        <w:autoSpaceDN w:val="0"/>
        <w:adjustRightInd w:val="0"/>
        <w:spacing w:before="120" w:after="120" w:line="360" w:lineRule="auto"/>
        <w:ind w:firstLine="708"/>
        <w:jc w:val="both"/>
        <w:rPr>
          <w:b/>
          <w:bCs/>
          <w:color w:val="FF0000"/>
        </w:rPr>
      </w:pPr>
      <w:r w:rsidRPr="008A703E">
        <w:rPr>
          <w:b/>
          <w:bCs/>
        </w:rPr>
        <w:t>II.2.</w:t>
      </w:r>
      <w:r>
        <w:rPr>
          <w:b/>
          <w:bCs/>
        </w:rPr>
        <w:t>5</w:t>
      </w:r>
      <w:r w:rsidRPr="008A703E">
        <w:rPr>
          <w:b/>
          <w:bCs/>
        </w:rPr>
        <w:t>.</w:t>
      </w:r>
      <w:r>
        <w:rPr>
          <w:b/>
          <w:bCs/>
        </w:rPr>
        <w:t xml:space="preserve"> </w:t>
      </w:r>
      <w:r w:rsidRPr="00ED7A18">
        <w:rPr>
          <w:b/>
          <w:bCs/>
        </w:rPr>
        <w:t xml:space="preserve">La listériose </w:t>
      </w:r>
    </w:p>
    <w:p w:rsidR="00723E07" w:rsidRDefault="00723E07" w:rsidP="00723E07">
      <w:pPr>
        <w:autoSpaceDE w:val="0"/>
        <w:autoSpaceDN w:val="0"/>
        <w:adjustRightInd w:val="0"/>
        <w:spacing w:before="120" w:after="120" w:line="360" w:lineRule="auto"/>
        <w:ind w:firstLine="708"/>
        <w:jc w:val="both"/>
      </w:pPr>
      <w:r w:rsidRPr="003015C7">
        <w:t xml:space="preserve">La listériose se présente chez l'homme sous deux principales formes : La listériose périnatale et la listériose chez l'adulte. Pour ces deux formes, les signes cliniques apparaissent principalement sous forme de septicémie généralisée ou d'infection du système nerveux central (SNC) </w:t>
      </w:r>
      <w:r w:rsidRPr="003015C7">
        <w:rPr>
          <w:color w:val="0000FF"/>
        </w:rPr>
        <w:t xml:space="preserve">(Vâsquez-Boland </w:t>
      </w:r>
      <w:r w:rsidRPr="003015C7">
        <w:rPr>
          <w:i/>
          <w:iCs/>
          <w:color w:val="0000FF"/>
        </w:rPr>
        <w:t>et al</w:t>
      </w:r>
      <w:r w:rsidRPr="003015C7">
        <w:rPr>
          <w:color w:val="0000FF"/>
        </w:rPr>
        <w:t>., 2001)</w:t>
      </w:r>
      <w:r w:rsidRPr="003015C7">
        <w:t xml:space="preserve">. </w:t>
      </w:r>
    </w:p>
    <w:p w:rsidR="00723E07" w:rsidRPr="003015C7" w:rsidRDefault="00723E07" w:rsidP="00723E07">
      <w:pPr>
        <w:autoSpaceDE w:val="0"/>
        <w:autoSpaceDN w:val="0"/>
        <w:adjustRightInd w:val="0"/>
        <w:spacing w:before="120" w:after="120" w:line="360" w:lineRule="auto"/>
        <w:ind w:firstLine="708"/>
        <w:jc w:val="both"/>
        <w:rPr>
          <w:color w:val="FF0000"/>
        </w:rPr>
      </w:pPr>
      <w:r w:rsidRPr="003015C7">
        <w:t xml:space="preserve">Parmi les sept espèces de </w:t>
      </w:r>
      <w:r w:rsidRPr="00B70668">
        <w:rPr>
          <w:i/>
          <w:iCs/>
        </w:rPr>
        <w:t>Listeria,</w:t>
      </w:r>
      <w:r w:rsidRPr="003015C7">
        <w:rPr>
          <w:i/>
          <w:iCs/>
        </w:rPr>
        <w:t xml:space="preserve"> </w:t>
      </w:r>
      <w:r w:rsidRPr="003015C7">
        <w:t xml:space="preserve">seulement </w:t>
      </w:r>
      <w:r w:rsidRPr="003015C7">
        <w:rPr>
          <w:i/>
          <w:iCs/>
        </w:rPr>
        <w:t xml:space="preserve">L. monocytogenes, L. ivanovii </w:t>
      </w:r>
      <w:r w:rsidRPr="003015C7">
        <w:t xml:space="preserve">et </w:t>
      </w:r>
      <w:r>
        <w:t xml:space="preserve"> </w:t>
      </w:r>
      <w:r w:rsidRPr="003015C7">
        <w:rPr>
          <w:i/>
          <w:iCs/>
        </w:rPr>
        <w:t xml:space="preserve">L. seeligeri </w:t>
      </w:r>
      <w:r w:rsidRPr="003015C7">
        <w:t xml:space="preserve">peuvent causer des infections menant à une listériose. Cependant, les infections à </w:t>
      </w:r>
      <w:r w:rsidRPr="003015C7">
        <w:rPr>
          <w:i/>
          <w:iCs/>
        </w:rPr>
        <w:t xml:space="preserve">L. ivanovii </w:t>
      </w:r>
      <w:r w:rsidRPr="003015C7">
        <w:t xml:space="preserve">sont plus fréquentes chez les animaux que chez les humains </w:t>
      </w:r>
      <w:r w:rsidRPr="003015C7">
        <w:rPr>
          <w:color w:val="0000FF"/>
        </w:rPr>
        <w:t>(Larpent, 2000)</w:t>
      </w:r>
      <w:r w:rsidRPr="003015C7">
        <w:t>.</w:t>
      </w:r>
    </w:p>
    <w:p w:rsidR="00723E07" w:rsidRPr="003015C7" w:rsidRDefault="00723E07" w:rsidP="00723E07">
      <w:pPr>
        <w:autoSpaceDE w:val="0"/>
        <w:autoSpaceDN w:val="0"/>
        <w:adjustRightInd w:val="0"/>
        <w:spacing w:before="120" w:after="120" w:line="360" w:lineRule="auto"/>
        <w:ind w:firstLine="708"/>
        <w:jc w:val="both"/>
      </w:pPr>
      <w:r w:rsidRPr="003015C7">
        <w:t xml:space="preserve">Les sujets à risque de développer une listériose sont principalement les femmes enceintes et leurs fœtus, les personnes âgées, les cancéreux et les patients immunodéprimés (soit par la prise de médicaments à la suite d'une greffe d'organe ou par une maladie du système immunitaire comme une infection au VIH) </w:t>
      </w:r>
      <w:r w:rsidRPr="003015C7">
        <w:rPr>
          <w:color w:val="0000FF"/>
        </w:rPr>
        <w:t>(Doganay, 2003)</w:t>
      </w:r>
      <w:r w:rsidRPr="003015C7">
        <w:t>.</w:t>
      </w:r>
    </w:p>
    <w:p w:rsidR="00723E07" w:rsidRPr="003015C7" w:rsidRDefault="00723E07" w:rsidP="00723E07">
      <w:pPr>
        <w:autoSpaceDE w:val="0"/>
        <w:autoSpaceDN w:val="0"/>
        <w:adjustRightInd w:val="0"/>
        <w:spacing w:before="120" w:after="120" w:line="360" w:lineRule="auto"/>
        <w:ind w:firstLine="708"/>
        <w:jc w:val="both"/>
        <w:rPr>
          <w:color w:val="FF0000"/>
        </w:rPr>
      </w:pPr>
      <w:r w:rsidRPr="003015C7">
        <w:lastRenderedPageBreak/>
        <w:t xml:space="preserve"> Malgré une incidence relativement faible dans les pays industrialisés (entre 1 à 10 cas par million d'habitants), les infections à </w:t>
      </w:r>
      <w:r w:rsidRPr="00CC4071">
        <w:rPr>
          <w:i/>
          <w:iCs/>
        </w:rPr>
        <w:t xml:space="preserve">L. monocytogenes  </w:t>
      </w:r>
      <w:r w:rsidRPr="003015C7">
        <w:t xml:space="preserve">sont des plus fatales avec taux de mortalité variant de 20 à 30% </w:t>
      </w:r>
      <w:r w:rsidRPr="003015C7">
        <w:rPr>
          <w:color w:val="0000FF"/>
        </w:rPr>
        <w:t xml:space="preserve">(Larpent, 2000 ; Vâsquez-Boland </w:t>
      </w:r>
      <w:r w:rsidRPr="003015C7">
        <w:rPr>
          <w:i/>
          <w:iCs/>
          <w:color w:val="0000FF"/>
        </w:rPr>
        <w:t>et al</w:t>
      </w:r>
      <w:r w:rsidRPr="003015C7">
        <w:rPr>
          <w:color w:val="0000FF"/>
        </w:rPr>
        <w:t>., 2001)</w:t>
      </w:r>
      <w:r w:rsidRPr="00ED7A18">
        <w:t>.</w:t>
      </w:r>
    </w:p>
    <w:p w:rsidR="00723E07" w:rsidRPr="003015C7" w:rsidRDefault="00723E07" w:rsidP="00723E07">
      <w:pPr>
        <w:autoSpaceDE w:val="0"/>
        <w:autoSpaceDN w:val="0"/>
        <w:adjustRightInd w:val="0"/>
        <w:spacing w:before="120" w:after="120" w:line="360" w:lineRule="auto"/>
        <w:ind w:firstLine="708"/>
        <w:jc w:val="both"/>
        <w:rPr>
          <w:color w:val="FF0000"/>
        </w:rPr>
      </w:pPr>
      <w:r w:rsidRPr="003015C7">
        <w:t xml:space="preserve">La plupart des infections à </w:t>
      </w:r>
      <w:r w:rsidRPr="00CC4071">
        <w:rPr>
          <w:i/>
          <w:iCs/>
        </w:rPr>
        <w:t xml:space="preserve">L. monocytogenes  </w:t>
      </w:r>
      <w:r w:rsidRPr="003015C7">
        <w:t xml:space="preserve">sont causées par l'ingestion d'aliments contaminés, et les épidémies de listériose sont de plus en plus fréquentes </w:t>
      </w:r>
      <w:r w:rsidRPr="003015C7">
        <w:rPr>
          <w:color w:val="0000FF"/>
        </w:rPr>
        <w:t xml:space="preserve">(Farber et Peterkin, 1991; Larpent, 2000 </w:t>
      </w:r>
      <w:r w:rsidRPr="0022360F">
        <w:rPr>
          <w:color w:val="0000FF"/>
        </w:rPr>
        <w:t>; Rocourt, 1996).</w:t>
      </w:r>
    </w:p>
    <w:p w:rsidR="00723E07" w:rsidRDefault="00723E07" w:rsidP="00723E07">
      <w:pPr>
        <w:autoSpaceDE w:val="0"/>
        <w:autoSpaceDN w:val="0"/>
        <w:adjustRightInd w:val="0"/>
        <w:spacing w:before="120" w:after="120" w:line="360" w:lineRule="auto"/>
        <w:ind w:firstLine="708"/>
        <w:jc w:val="both"/>
      </w:pPr>
      <w:r w:rsidRPr="003015C7">
        <w:t xml:space="preserve">Plusieurs raisons expliquent cette contamination des aliments par </w:t>
      </w:r>
      <w:r w:rsidRPr="003015C7">
        <w:rPr>
          <w:i/>
          <w:iCs/>
        </w:rPr>
        <w:t xml:space="preserve">L. monocytogenes, </w:t>
      </w:r>
      <w:r w:rsidRPr="003015C7">
        <w:t xml:space="preserve">notamment sa tolérance à de fortes concentrations de sels et à des pH relativement acides. </w:t>
      </w:r>
    </w:p>
    <w:p w:rsidR="00723E07" w:rsidRPr="003015C7" w:rsidRDefault="00723E07" w:rsidP="00723E07">
      <w:pPr>
        <w:autoSpaceDE w:val="0"/>
        <w:autoSpaceDN w:val="0"/>
        <w:adjustRightInd w:val="0"/>
        <w:spacing w:before="120" w:after="120" w:line="360" w:lineRule="auto"/>
        <w:ind w:firstLine="708"/>
        <w:jc w:val="both"/>
        <w:rPr>
          <w:color w:val="FF0000"/>
        </w:rPr>
      </w:pPr>
      <w:r w:rsidRPr="003015C7">
        <w:t xml:space="preserve">Cependant, sa capacité à croître aux températures normales de réfrigération (entre 2 et </w:t>
      </w:r>
      <w:smartTag w:uri="urn:schemas-microsoft-com:office:smarttags" w:element="metricconverter">
        <w:smartTagPr>
          <w:attr w:name="ProductID" w:val="4ﾰC"/>
        </w:smartTagPr>
        <w:r w:rsidRPr="003015C7">
          <w:t>4°C</w:t>
        </w:r>
      </w:smartTag>
      <w:r w:rsidRPr="003015C7">
        <w:t xml:space="preserve">) représente le plus important facteur responsable de la contamination des aliments par </w:t>
      </w:r>
      <w:r w:rsidRPr="00CC4071">
        <w:rPr>
          <w:i/>
          <w:iCs/>
        </w:rPr>
        <w:t xml:space="preserve">L. monocytogenes  </w:t>
      </w:r>
      <w:r w:rsidRPr="003015C7">
        <w:rPr>
          <w:color w:val="0000FF"/>
        </w:rPr>
        <w:t>(Larpent, 2000)</w:t>
      </w:r>
      <w:r w:rsidRPr="003015C7">
        <w:t>.</w:t>
      </w:r>
    </w:p>
    <w:p w:rsidR="00723E07" w:rsidRPr="003015C7" w:rsidRDefault="00723E07" w:rsidP="00723E07">
      <w:pPr>
        <w:autoSpaceDE w:val="0"/>
        <w:autoSpaceDN w:val="0"/>
        <w:adjustRightInd w:val="0"/>
        <w:spacing w:before="120" w:after="120" w:line="360" w:lineRule="auto"/>
        <w:ind w:firstLine="708"/>
        <w:jc w:val="both"/>
        <w:rPr>
          <w:color w:val="FF0000"/>
        </w:rPr>
      </w:pPr>
      <w:r w:rsidRPr="008A703E">
        <w:rPr>
          <w:b/>
          <w:bCs/>
        </w:rPr>
        <w:t>II.2.</w:t>
      </w:r>
      <w:r>
        <w:rPr>
          <w:b/>
          <w:bCs/>
        </w:rPr>
        <w:t>5</w:t>
      </w:r>
      <w:r w:rsidRPr="008A703E">
        <w:rPr>
          <w:b/>
          <w:bCs/>
        </w:rPr>
        <w:t>.</w:t>
      </w:r>
      <w:r>
        <w:rPr>
          <w:b/>
          <w:bCs/>
        </w:rPr>
        <w:t xml:space="preserve">1. </w:t>
      </w:r>
      <w:r w:rsidRPr="00C00537">
        <w:rPr>
          <w:b/>
          <w:bCs/>
        </w:rPr>
        <w:t>Listériose périnatale</w:t>
      </w:r>
    </w:p>
    <w:p w:rsidR="00723E07" w:rsidRPr="003015C7" w:rsidRDefault="00723E07" w:rsidP="00723E07">
      <w:pPr>
        <w:autoSpaceDE w:val="0"/>
        <w:autoSpaceDN w:val="0"/>
        <w:adjustRightInd w:val="0"/>
        <w:spacing w:before="120" w:after="120" w:line="360" w:lineRule="auto"/>
        <w:ind w:firstLine="708"/>
        <w:jc w:val="both"/>
      </w:pPr>
      <w:r w:rsidRPr="003015C7">
        <w:t xml:space="preserve">Cette forme de listériose peut se développer chez le fœtus ou chez l'enfant né à terme. La forme la plus fréquente est celle qui se développe chez le fœtus. Cette forme d'infection résulte du passage de </w:t>
      </w:r>
      <w:r w:rsidRPr="00CC4071">
        <w:rPr>
          <w:i/>
          <w:iCs/>
        </w:rPr>
        <w:t xml:space="preserve">L. monocytogenes  </w:t>
      </w:r>
      <w:r w:rsidRPr="003015C7">
        <w:t xml:space="preserve">à travers le placenta et peut provoquer l'avortement chez un fœtus de cinq mois et plus. </w:t>
      </w:r>
    </w:p>
    <w:p w:rsidR="00723E07" w:rsidRPr="003015C7" w:rsidRDefault="00723E07" w:rsidP="00723E07">
      <w:pPr>
        <w:autoSpaceDE w:val="0"/>
        <w:autoSpaceDN w:val="0"/>
        <w:adjustRightInd w:val="0"/>
        <w:spacing w:before="120" w:after="120" w:line="360" w:lineRule="auto"/>
        <w:ind w:firstLine="708"/>
        <w:jc w:val="both"/>
        <w:rPr>
          <w:color w:val="FF0000"/>
        </w:rPr>
      </w:pPr>
      <w:r w:rsidRPr="003015C7">
        <w:t xml:space="preserve">Si la grossesse se rend à terme, l'infection peut résulter en la naissance d'un bébé mort-né ou d'un bébé avec une infection généralisée. Cette forme de listériose est pratiquement sans symptômes chez la mère (légers symptômes grippaux, fatigue et maux de tête) </w:t>
      </w:r>
      <w:r w:rsidRPr="003015C7">
        <w:rPr>
          <w:color w:val="0000FF"/>
        </w:rPr>
        <w:t>(Larpent, 2000</w:t>
      </w:r>
      <w:r>
        <w:rPr>
          <w:color w:val="0000FF"/>
        </w:rPr>
        <w:t xml:space="preserve"> </w:t>
      </w:r>
      <w:r w:rsidRPr="003015C7">
        <w:rPr>
          <w:color w:val="0000FF"/>
        </w:rPr>
        <w:t xml:space="preserve">; Vâsquez-Boland </w:t>
      </w:r>
      <w:r w:rsidRPr="003015C7">
        <w:rPr>
          <w:i/>
          <w:iCs/>
          <w:color w:val="0000FF"/>
        </w:rPr>
        <w:t>et al</w:t>
      </w:r>
      <w:r w:rsidRPr="003015C7">
        <w:rPr>
          <w:color w:val="0000FF"/>
        </w:rPr>
        <w:t>.,</w:t>
      </w:r>
      <w:r>
        <w:rPr>
          <w:color w:val="0000FF"/>
        </w:rPr>
        <w:t xml:space="preserve"> </w:t>
      </w:r>
      <w:r w:rsidRPr="003015C7">
        <w:rPr>
          <w:color w:val="0000FF"/>
        </w:rPr>
        <w:t>2001)</w:t>
      </w:r>
      <w:r w:rsidRPr="003015C7">
        <w:t>.</w:t>
      </w:r>
    </w:p>
    <w:p w:rsidR="00723E07" w:rsidRPr="003015C7" w:rsidRDefault="00723E07" w:rsidP="00723E07">
      <w:pPr>
        <w:autoSpaceDE w:val="0"/>
        <w:autoSpaceDN w:val="0"/>
        <w:adjustRightInd w:val="0"/>
        <w:spacing w:before="120" w:after="120" w:line="360" w:lineRule="auto"/>
        <w:ind w:firstLine="708"/>
        <w:jc w:val="both"/>
        <w:rPr>
          <w:color w:val="FF0000"/>
        </w:rPr>
      </w:pPr>
      <w:r w:rsidRPr="003015C7">
        <w:t>Une forme de listériose néonatale tardive peut aussi se présenter, mais est beaucoup moins fréquente que la forme fœtale (10-15% des cas). Cette forme affecte des enfants sains infectés suite à l'accouchement</w:t>
      </w:r>
      <w:r>
        <w:t>,</w:t>
      </w:r>
      <w:r w:rsidRPr="003015C7">
        <w:t xml:space="preserve"> et provoque le plus souvent des méningites et quelquefois des gastroentérites ou des pneumonies. Cette forme est beaucoup moins mortelle que la précédente (10 à 20% de mortalité) </w:t>
      </w:r>
      <w:r w:rsidRPr="003015C7">
        <w:rPr>
          <w:color w:val="0000FF"/>
        </w:rPr>
        <w:t>(Larpent, 2000</w:t>
      </w:r>
      <w:r>
        <w:rPr>
          <w:color w:val="0000FF"/>
        </w:rPr>
        <w:t xml:space="preserve"> </w:t>
      </w:r>
      <w:r w:rsidRPr="003015C7">
        <w:rPr>
          <w:color w:val="0000FF"/>
        </w:rPr>
        <w:t xml:space="preserve">; Vâsquez-Boland </w:t>
      </w:r>
      <w:r w:rsidRPr="003015C7">
        <w:rPr>
          <w:i/>
          <w:iCs/>
          <w:color w:val="0000FF"/>
        </w:rPr>
        <w:t>et al</w:t>
      </w:r>
      <w:r w:rsidRPr="003015C7">
        <w:rPr>
          <w:color w:val="0000FF"/>
        </w:rPr>
        <w:t>., 2001)</w:t>
      </w:r>
      <w:r w:rsidRPr="003015C7">
        <w:t>.</w:t>
      </w:r>
    </w:p>
    <w:p w:rsidR="00723E07" w:rsidRPr="003015C7" w:rsidRDefault="00723E07" w:rsidP="00723E07">
      <w:pPr>
        <w:autoSpaceDE w:val="0"/>
        <w:autoSpaceDN w:val="0"/>
        <w:adjustRightInd w:val="0"/>
        <w:spacing w:before="120" w:after="120" w:line="360" w:lineRule="auto"/>
        <w:ind w:firstLine="708"/>
        <w:jc w:val="both"/>
        <w:rPr>
          <w:b/>
          <w:bCs/>
          <w:color w:val="FF0000"/>
        </w:rPr>
      </w:pPr>
      <w:r w:rsidRPr="008A703E">
        <w:rPr>
          <w:b/>
          <w:bCs/>
        </w:rPr>
        <w:t>II.2.</w:t>
      </w:r>
      <w:r>
        <w:rPr>
          <w:b/>
          <w:bCs/>
        </w:rPr>
        <w:t>5</w:t>
      </w:r>
      <w:r w:rsidRPr="008A703E">
        <w:rPr>
          <w:b/>
          <w:bCs/>
        </w:rPr>
        <w:t>.</w:t>
      </w:r>
      <w:r>
        <w:rPr>
          <w:b/>
          <w:bCs/>
        </w:rPr>
        <w:t xml:space="preserve">2. </w:t>
      </w:r>
      <w:r w:rsidRPr="00882808">
        <w:rPr>
          <w:b/>
          <w:bCs/>
        </w:rPr>
        <w:t>Listériose chez l'adulte</w:t>
      </w:r>
    </w:p>
    <w:p w:rsidR="00723E07" w:rsidRPr="003015C7" w:rsidRDefault="00723E07" w:rsidP="00723E07">
      <w:pPr>
        <w:autoSpaceDE w:val="0"/>
        <w:autoSpaceDN w:val="0"/>
        <w:adjustRightInd w:val="0"/>
        <w:spacing w:before="120" w:after="120" w:line="360" w:lineRule="auto"/>
        <w:ind w:firstLine="708"/>
        <w:jc w:val="both"/>
        <w:rPr>
          <w:color w:val="0000FF"/>
        </w:rPr>
      </w:pPr>
      <w:r w:rsidRPr="003015C7">
        <w:t xml:space="preserve">Les manifestations les plus fréquentes de listériose chez l'adulte affectent le SNC, causant des méningites et des méningo-encéphalites </w:t>
      </w:r>
      <w:r w:rsidRPr="003015C7">
        <w:rPr>
          <w:color w:val="0000FF"/>
        </w:rPr>
        <w:t>(Larpent, 2000;</w:t>
      </w:r>
      <w:r w:rsidRPr="003015C7">
        <w:rPr>
          <w:color w:val="FF0000"/>
        </w:rPr>
        <w:t xml:space="preserve"> </w:t>
      </w:r>
      <w:r w:rsidRPr="003015C7">
        <w:rPr>
          <w:color w:val="0000FF"/>
        </w:rPr>
        <w:t xml:space="preserve">Vâsquez-Boland </w:t>
      </w:r>
      <w:r w:rsidRPr="003015C7">
        <w:rPr>
          <w:i/>
          <w:iCs/>
          <w:color w:val="0000FF"/>
        </w:rPr>
        <w:t>et al</w:t>
      </w:r>
      <w:r w:rsidRPr="003015C7">
        <w:rPr>
          <w:color w:val="0000FF"/>
        </w:rPr>
        <w:t>., 2001</w:t>
      </w:r>
      <w:r>
        <w:rPr>
          <w:color w:val="0000FF"/>
        </w:rPr>
        <w:t xml:space="preserve"> </w:t>
      </w:r>
      <w:r w:rsidRPr="003015C7">
        <w:rPr>
          <w:color w:val="0000FF"/>
        </w:rPr>
        <w:t>;</w:t>
      </w:r>
      <w:r w:rsidRPr="00882808">
        <w:rPr>
          <w:color w:val="0000FF"/>
        </w:rPr>
        <w:t xml:space="preserve"> </w:t>
      </w:r>
      <w:r w:rsidRPr="003015C7">
        <w:rPr>
          <w:color w:val="0000FF"/>
        </w:rPr>
        <w:t>Doganay, 2003)</w:t>
      </w:r>
      <w:r w:rsidRPr="003015C7">
        <w:t xml:space="preserve">. Ce type de manifestation de la listériose </w:t>
      </w:r>
      <w:r w:rsidRPr="003015C7">
        <w:lastRenderedPageBreak/>
        <w:t>représente entre 55</w:t>
      </w:r>
      <w:r>
        <w:t xml:space="preserve"> </w:t>
      </w:r>
      <w:r w:rsidRPr="003015C7">
        <w:t>et 70% des cas répertoriés chez l'adulte</w:t>
      </w:r>
      <w:r w:rsidRPr="003015C7">
        <w:rPr>
          <w:color w:val="0000FF"/>
        </w:rPr>
        <w:t xml:space="preserve"> (Vâsquez-Boland </w:t>
      </w:r>
      <w:r w:rsidRPr="003015C7">
        <w:rPr>
          <w:i/>
          <w:iCs/>
          <w:color w:val="0000FF"/>
        </w:rPr>
        <w:t>et al</w:t>
      </w:r>
      <w:r w:rsidRPr="003015C7">
        <w:rPr>
          <w:color w:val="0000FF"/>
        </w:rPr>
        <w:t>., 2001)</w:t>
      </w:r>
      <w:r w:rsidRPr="003015C7">
        <w:t>.</w:t>
      </w:r>
      <w:r w:rsidRPr="003015C7">
        <w:rPr>
          <w:color w:val="0000FF"/>
        </w:rPr>
        <w:t xml:space="preserve"> </w:t>
      </w:r>
    </w:p>
    <w:p w:rsidR="00723E07" w:rsidRPr="003015C7" w:rsidRDefault="00723E07" w:rsidP="00723E07">
      <w:pPr>
        <w:autoSpaceDE w:val="0"/>
        <w:autoSpaceDN w:val="0"/>
        <w:adjustRightInd w:val="0"/>
        <w:spacing w:before="120" w:after="120" w:line="360" w:lineRule="auto"/>
        <w:ind w:firstLine="708"/>
        <w:jc w:val="both"/>
        <w:rPr>
          <w:color w:val="FF0000"/>
        </w:rPr>
      </w:pPr>
      <w:r w:rsidRPr="003015C7">
        <w:t xml:space="preserve">Cependant, plusieurs autres signes cliniques peuvent apparaître suite à une infection à </w:t>
      </w:r>
      <w:r w:rsidRPr="00B70668">
        <w:rPr>
          <w:i/>
          <w:iCs/>
        </w:rPr>
        <w:t xml:space="preserve">Listeria </w:t>
      </w:r>
      <w:r w:rsidRPr="003015C7">
        <w:rPr>
          <w:i/>
          <w:iCs/>
        </w:rPr>
        <w:t xml:space="preserve"> monocytogenes </w:t>
      </w:r>
      <w:r w:rsidRPr="003015C7">
        <w:t xml:space="preserve">et sont présentés au </w:t>
      </w:r>
      <w:r w:rsidRPr="00C04E98">
        <w:rPr>
          <w:color w:val="0000FF"/>
        </w:rPr>
        <w:t>tableau 2</w:t>
      </w:r>
      <w:r w:rsidRPr="003015C7">
        <w:t xml:space="preserve">. Outre les conditions à risque mentionnées plus haut (grossesse, âge, immunodépression, etc.), d'autres facteurs peuvent augmenter la sensibilité à </w:t>
      </w:r>
      <w:r w:rsidRPr="00B70668">
        <w:rPr>
          <w:i/>
          <w:iCs/>
        </w:rPr>
        <w:t xml:space="preserve">Listeria </w:t>
      </w:r>
      <w:r w:rsidRPr="003015C7">
        <w:rPr>
          <w:i/>
          <w:iCs/>
        </w:rPr>
        <w:t xml:space="preserve"> monocytogenes </w:t>
      </w:r>
      <w:r w:rsidRPr="003015C7">
        <w:t xml:space="preserve">comme le diabète, les maladies hépatiques et rénales, la diminution de l'acidité gastrique et la dépendance aux narcotiques et au tabac </w:t>
      </w:r>
      <w:r w:rsidRPr="003015C7">
        <w:rPr>
          <w:color w:val="0000FF"/>
        </w:rPr>
        <w:t>(Larpent, 2000</w:t>
      </w:r>
      <w:r>
        <w:rPr>
          <w:color w:val="0000FF"/>
        </w:rPr>
        <w:t xml:space="preserve"> </w:t>
      </w:r>
      <w:r w:rsidRPr="003015C7">
        <w:rPr>
          <w:color w:val="0000FF"/>
        </w:rPr>
        <w:t xml:space="preserve">; Vâsquez- Boland </w:t>
      </w:r>
      <w:r w:rsidRPr="003015C7">
        <w:rPr>
          <w:i/>
          <w:iCs/>
          <w:color w:val="0000FF"/>
        </w:rPr>
        <w:t>et al</w:t>
      </w:r>
      <w:r w:rsidRPr="003015C7">
        <w:rPr>
          <w:color w:val="0000FF"/>
        </w:rPr>
        <w:t>., 2001)</w:t>
      </w:r>
      <w:r w:rsidRPr="003015C7">
        <w:t>.</w:t>
      </w:r>
    </w:p>
    <w:p w:rsidR="00723E07" w:rsidRPr="009861B4" w:rsidRDefault="00723E07" w:rsidP="00723E07">
      <w:pPr>
        <w:autoSpaceDE w:val="0"/>
        <w:autoSpaceDN w:val="0"/>
        <w:adjustRightInd w:val="0"/>
        <w:spacing w:before="120" w:after="120" w:line="360" w:lineRule="auto"/>
        <w:ind w:firstLine="708"/>
        <w:jc w:val="both"/>
        <w:rPr>
          <w:b/>
          <w:bCs/>
        </w:rPr>
      </w:pPr>
      <w:r w:rsidRPr="008A703E">
        <w:rPr>
          <w:b/>
          <w:bCs/>
        </w:rPr>
        <w:t>II.2.</w:t>
      </w:r>
      <w:r>
        <w:rPr>
          <w:b/>
          <w:bCs/>
        </w:rPr>
        <w:t>5</w:t>
      </w:r>
      <w:r w:rsidRPr="008A703E">
        <w:rPr>
          <w:b/>
          <w:bCs/>
        </w:rPr>
        <w:t>.</w:t>
      </w:r>
      <w:r>
        <w:rPr>
          <w:b/>
          <w:bCs/>
        </w:rPr>
        <w:t xml:space="preserve">3. </w:t>
      </w:r>
      <w:r w:rsidRPr="009861B4">
        <w:rPr>
          <w:b/>
          <w:bCs/>
        </w:rPr>
        <w:t>Lutte et prévention de la listériose</w:t>
      </w:r>
    </w:p>
    <w:p w:rsidR="00723E07" w:rsidRPr="009861B4" w:rsidRDefault="00723E07" w:rsidP="00723E07">
      <w:pPr>
        <w:autoSpaceDE w:val="0"/>
        <w:autoSpaceDN w:val="0"/>
        <w:adjustRightInd w:val="0"/>
        <w:spacing w:before="120" w:after="120" w:line="360" w:lineRule="auto"/>
        <w:ind w:left="708"/>
        <w:jc w:val="both"/>
        <w:rPr>
          <w:b/>
          <w:bCs/>
        </w:rPr>
      </w:pPr>
      <w:r w:rsidRPr="008A703E">
        <w:rPr>
          <w:b/>
          <w:bCs/>
        </w:rPr>
        <w:t>II.2.</w:t>
      </w:r>
      <w:r>
        <w:rPr>
          <w:b/>
          <w:bCs/>
        </w:rPr>
        <w:t>5</w:t>
      </w:r>
      <w:r w:rsidRPr="008A703E">
        <w:rPr>
          <w:b/>
          <w:bCs/>
        </w:rPr>
        <w:t>.</w:t>
      </w:r>
      <w:r>
        <w:rPr>
          <w:b/>
          <w:bCs/>
        </w:rPr>
        <w:t xml:space="preserve">3.1. </w:t>
      </w:r>
      <w:r w:rsidRPr="009861B4">
        <w:rPr>
          <w:b/>
          <w:bCs/>
        </w:rPr>
        <w:t>Utilisation des bactériocines de bactéries lactiques et des antibiotiques</w:t>
      </w:r>
    </w:p>
    <w:p w:rsidR="00723E07" w:rsidRPr="003015C7" w:rsidRDefault="00723E07" w:rsidP="00723E07">
      <w:pPr>
        <w:autoSpaceDE w:val="0"/>
        <w:autoSpaceDN w:val="0"/>
        <w:adjustRightInd w:val="0"/>
        <w:spacing w:before="120" w:after="120" w:line="360" w:lineRule="auto"/>
        <w:ind w:firstLine="708"/>
        <w:jc w:val="both"/>
        <w:rPr>
          <w:color w:val="FF0000"/>
        </w:rPr>
      </w:pPr>
      <w:r w:rsidRPr="003015C7">
        <w:t xml:space="preserve">Les listérioses chez l'homme sont généralement traitées par l'administration d'antibiotiques. La plupart des isolats cliniques de </w:t>
      </w:r>
      <w:r w:rsidRPr="00CC4071">
        <w:rPr>
          <w:i/>
          <w:iCs/>
        </w:rPr>
        <w:t xml:space="preserve">L. monocytogenes  </w:t>
      </w:r>
      <w:r w:rsidRPr="003015C7">
        <w:t xml:space="preserve">sont sensibles à la grande majorité des antibiotiques </w:t>
      </w:r>
      <w:r w:rsidRPr="003015C7">
        <w:rPr>
          <w:color w:val="0000FF"/>
        </w:rPr>
        <w:t>(Larpent, 2000)</w:t>
      </w:r>
      <w:r w:rsidRPr="003015C7">
        <w:t>.</w:t>
      </w:r>
    </w:p>
    <w:p w:rsidR="00723E07" w:rsidRPr="003015C7" w:rsidRDefault="00723E07" w:rsidP="00723E07">
      <w:pPr>
        <w:autoSpaceDE w:val="0"/>
        <w:autoSpaceDN w:val="0"/>
        <w:adjustRightInd w:val="0"/>
        <w:spacing w:before="120" w:after="120" w:line="360" w:lineRule="auto"/>
        <w:ind w:firstLine="708"/>
        <w:jc w:val="both"/>
      </w:pPr>
      <w:r w:rsidRPr="003015C7">
        <w:t xml:space="preserve"> Les principaux antibiotiques utilisés pour le traitement d'une listériose sont : la pénicilline, l'ampicilline, la gentamicine, la tétracycline, l'érythromycine et le  </w:t>
      </w:r>
      <w:r>
        <w:t>c</w:t>
      </w:r>
      <w:r w:rsidRPr="003015C7">
        <w:t>hloramphénicol.</w:t>
      </w:r>
    </w:p>
    <w:p w:rsidR="00723E07" w:rsidRDefault="00723E07" w:rsidP="00723E07">
      <w:pPr>
        <w:autoSpaceDE w:val="0"/>
        <w:autoSpaceDN w:val="0"/>
        <w:adjustRightInd w:val="0"/>
        <w:spacing w:before="120" w:after="120" w:line="360" w:lineRule="auto"/>
        <w:ind w:firstLine="708"/>
        <w:jc w:val="both"/>
      </w:pPr>
      <w:r w:rsidRPr="003015C7">
        <w:t xml:space="preserve">De nombreuses bactériocines ont été décrites dans la littérature </w:t>
      </w:r>
      <w:r w:rsidRPr="003015C7">
        <w:rPr>
          <w:color w:val="0000FF"/>
        </w:rPr>
        <w:t xml:space="preserve">(Klaenhammer, 1988 </w:t>
      </w:r>
      <w:r w:rsidRPr="002C5C25">
        <w:rPr>
          <w:color w:val="0000FF"/>
        </w:rPr>
        <w:t xml:space="preserve">; </w:t>
      </w:r>
      <w:r w:rsidRPr="003015C7">
        <w:rPr>
          <w:color w:val="0000FF"/>
        </w:rPr>
        <w:t xml:space="preserve">Cleveland </w:t>
      </w:r>
      <w:r w:rsidRPr="003015C7">
        <w:rPr>
          <w:i/>
          <w:iCs/>
          <w:color w:val="0000FF"/>
        </w:rPr>
        <w:t>et al</w:t>
      </w:r>
      <w:r w:rsidRPr="003015C7">
        <w:rPr>
          <w:color w:val="0000FF"/>
        </w:rPr>
        <w:t>., 2001</w:t>
      </w:r>
      <w:r w:rsidRPr="003015C7">
        <w:rPr>
          <w:color w:val="FF0000"/>
        </w:rPr>
        <w:t xml:space="preserve"> </w:t>
      </w:r>
      <w:r w:rsidRPr="003015C7">
        <w:rPr>
          <w:color w:val="0000FF"/>
        </w:rPr>
        <w:t xml:space="preserve">; De Martinis </w:t>
      </w:r>
      <w:r w:rsidRPr="003015C7">
        <w:rPr>
          <w:i/>
          <w:iCs/>
          <w:color w:val="0000FF"/>
        </w:rPr>
        <w:t>et al</w:t>
      </w:r>
      <w:r w:rsidRPr="003015C7">
        <w:rPr>
          <w:color w:val="0000FF"/>
        </w:rPr>
        <w:t>., 2002)</w:t>
      </w:r>
      <w:r w:rsidRPr="003015C7">
        <w:t xml:space="preserve"> et plusieurs d'entre elles sont actives contre </w:t>
      </w:r>
      <w:r w:rsidRPr="00CC4071">
        <w:rPr>
          <w:i/>
          <w:iCs/>
        </w:rPr>
        <w:t xml:space="preserve">L. monocytogenes  </w:t>
      </w:r>
      <w:r w:rsidRPr="002C5C25">
        <w:rPr>
          <w:color w:val="0000FF"/>
        </w:rPr>
        <w:t>(Tableau 3)</w:t>
      </w:r>
      <w:r w:rsidRPr="003015C7">
        <w:t xml:space="preserve">. </w:t>
      </w:r>
    </w:p>
    <w:p w:rsidR="00723E07" w:rsidRDefault="00723E07" w:rsidP="00723E07">
      <w:pPr>
        <w:autoSpaceDE w:val="0"/>
        <w:autoSpaceDN w:val="0"/>
        <w:adjustRightInd w:val="0"/>
        <w:spacing w:before="120" w:after="120" w:line="360" w:lineRule="auto"/>
        <w:ind w:firstLine="708"/>
        <w:jc w:val="both"/>
        <w:rPr>
          <w:color w:val="FF0000"/>
        </w:rPr>
      </w:pPr>
      <w:r w:rsidRPr="003015C7">
        <w:t xml:space="preserve">Tout d'abord, plusieurs études montrent une activité de la nisine contre </w:t>
      </w:r>
      <w:r w:rsidRPr="00CC4071">
        <w:rPr>
          <w:i/>
          <w:iCs/>
        </w:rPr>
        <w:t xml:space="preserve">L. monocytogenes  </w:t>
      </w:r>
      <w:r w:rsidRPr="003015C7">
        <w:rPr>
          <w:i/>
          <w:iCs/>
        </w:rPr>
        <w:t>in vitro</w:t>
      </w:r>
      <w:r w:rsidRPr="003015C7">
        <w:rPr>
          <w:i/>
          <w:iCs/>
          <w:color w:val="0000FF"/>
        </w:rPr>
        <w:t xml:space="preserve"> </w:t>
      </w:r>
      <w:r w:rsidRPr="003015C7">
        <w:rPr>
          <w:color w:val="0000FF"/>
        </w:rPr>
        <w:t xml:space="preserve">(Cintas </w:t>
      </w:r>
      <w:r w:rsidRPr="003015C7">
        <w:rPr>
          <w:i/>
          <w:iCs/>
          <w:color w:val="0000FF"/>
        </w:rPr>
        <w:t>et al</w:t>
      </w:r>
      <w:r w:rsidRPr="003015C7">
        <w:rPr>
          <w:color w:val="0000FF"/>
        </w:rPr>
        <w:t>., 1998 ;</w:t>
      </w:r>
      <w:r w:rsidRPr="003015C7">
        <w:rPr>
          <w:color w:val="FF0000"/>
        </w:rPr>
        <w:t xml:space="preserve"> </w:t>
      </w:r>
      <w:r w:rsidRPr="003015C7">
        <w:rPr>
          <w:color w:val="0000FF"/>
        </w:rPr>
        <w:t xml:space="preserve">Katla </w:t>
      </w:r>
      <w:r w:rsidRPr="003015C7">
        <w:rPr>
          <w:i/>
          <w:iCs/>
          <w:color w:val="0000FF"/>
        </w:rPr>
        <w:t>et al</w:t>
      </w:r>
      <w:r w:rsidRPr="003015C7">
        <w:rPr>
          <w:color w:val="0000FF"/>
        </w:rPr>
        <w:t xml:space="preserve">., 2003) </w:t>
      </w:r>
      <w:r w:rsidRPr="003015C7">
        <w:t xml:space="preserve">ou à l'intérieur de matrices alimentaires comme le lait </w:t>
      </w:r>
      <w:r w:rsidRPr="003015C7">
        <w:rPr>
          <w:color w:val="0000FF"/>
        </w:rPr>
        <w:t xml:space="preserve">(Bhatti </w:t>
      </w:r>
      <w:r w:rsidRPr="003015C7">
        <w:rPr>
          <w:i/>
          <w:iCs/>
          <w:color w:val="0000FF"/>
        </w:rPr>
        <w:t>et al</w:t>
      </w:r>
      <w:r w:rsidRPr="003015C7">
        <w:rPr>
          <w:color w:val="0000FF"/>
        </w:rPr>
        <w:t>., 2004)</w:t>
      </w:r>
      <w:r w:rsidRPr="003015C7">
        <w:t>, le fromage (</w:t>
      </w:r>
      <w:r w:rsidRPr="003015C7">
        <w:rPr>
          <w:color w:val="0000FF"/>
        </w:rPr>
        <w:t xml:space="preserve">Benech </w:t>
      </w:r>
      <w:r w:rsidRPr="003015C7">
        <w:rPr>
          <w:i/>
          <w:iCs/>
          <w:color w:val="0000FF"/>
        </w:rPr>
        <w:t>et al</w:t>
      </w:r>
      <w:r w:rsidRPr="003015C7">
        <w:rPr>
          <w:color w:val="0000FF"/>
        </w:rPr>
        <w:t xml:space="preserve">., 2002) </w:t>
      </w:r>
      <w:r w:rsidRPr="003015C7">
        <w:t>ou la viande.</w:t>
      </w:r>
      <w:r w:rsidRPr="003015C7">
        <w:rPr>
          <w:color w:val="FF0000"/>
        </w:rPr>
        <w:t xml:space="preserve"> </w:t>
      </w:r>
    </w:p>
    <w:p w:rsidR="00723E07" w:rsidRDefault="00723E07" w:rsidP="00723E07">
      <w:pPr>
        <w:autoSpaceDE w:val="0"/>
        <w:autoSpaceDN w:val="0"/>
        <w:adjustRightInd w:val="0"/>
        <w:spacing w:before="120" w:after="120" w:line="360" w:lineRule="auto"/>
        <w:ind w:firstLine="708"/>
        <w:jc w:val="both"/>
      </w:pPr>
      <w:r w:rsidRPr="003015C7">
        <w:t xml:space="preserve">Ensuite, de nombreuses autres bactériocines ont été étudiées pour leur effet </w:t>
      </w:r>
      <w:r w:rsidRPr="003015C7">
        <w:rPr>
          <w:i/>
          <w:iCs/>
        </w:rPr>
        <w:t>anti-</w:t>
      </w:r>
      <w:r w:rsidRPr="00B70668">
        <w:rPr>
          <w:i/>
          <w:iCs/>
        </w:rPr>
        <w:t xml:space="preserve">Listeria </w:t>
      </w:r>
      <w:r w:rsidRPr="003015C7">
        <w:rPr>
          <w:i/>
          <w:iCs/>
        </w:rPr>
        <w:t xml:space="preserve"> in vitro</w:t>
      </w:r>
      <w:r w:rsidRPr="003015C7">
        <w:rPr>
          <w:i/>
          <w:iCs/>
          <w:color w:val="0000FF"/>
        </w:rPr>
        <w:t xml:space="preserve"> </w:t>
      </w:r>
      <w:r w:rsidRPr="003015C7">
        <w:rPr>
          <w:color w:val="0000FF"/>
        </w:rPr>
        <w:t xml:space="preserve">(Cintas </w:t>
      </w:r>
      <w:r w:rsidRPr="003015C7">
        <w:rPr>
          <w:i/>
          <w:iCs/>
          <w:color w:val="0000FF"/>
        </w:rPr>
        <w:t>et al</w:t>
      </w:r>
      <w:r w:rsidRPr="003015C7">
        <w:rPr>
          <w:color w:val="0000FF"/>
        </w:rPr>
        <w:t>., 1998</w:t>
      </w:r>
      <w:r>
        <w:rPr>
          <w:color w:val="0000FF"/>
        </w:rPr>
        <w:t xml:space="preserve"> </w:t>
      </w:r>
      <w:r w:rsidRPr="003015C7">
        <w:rPr>
          <w:color w:val="0000FF"/>
        </w:rPr>
        <w:t>;</w:t>
      </w:r>
      <w:r w:rsidRPr="003015C7">
        <w:rPr>
          <w:color w:val="FF0000"/>
        </w:rPr>
        <w:t xml:space="preserve"> </w:t>
      </w:r>
      <w:r w:rsidRPr="003015C7">
        <w:rPr>
          <w:color w:val="0000FF"/>
        </w:rPr>
        <w:t xml:space="preserve">Yildirim </w:t>
      </w:r>
      <w:r w:rsidRPr="003015C7">
        <w:rPr>
          <w:i/>
          <w:iCs/>
          <w:color w:val="0000FF"/>
        </w:rPr>
        <w:t>et al</w:t>
      </w:r>
      <w:r w:rsidRPr="003015C7">
        <w:rPr>
          <w:color w:val="0000FF"/>
        </w:rPr>
        <w:t>., 1999</w:t>
      </w:r>
      <w:r>
        <w:rPr>
          <w:color w:val="0000FF"/>
        </w:rPr>
        <w:t xml:space="preserve"> </w:t>
      </w:r>
      <w:r w:rsidRPr="003015C7">
        <w:rPr>
          <w:color w:val="0000FF"/>
        </w:rPr>
        <w:t>;</w:t>
      </w:r>
      <w:r w:rsidRPr="003015C7">
        <w:rPr>
          <w:color w:val="FF0000"/>
        </w:rPr>
        <w:t xml:space="preserve"> </w:t>
      </w:r>
      <w:r w:rsidRPr="003015C7">
        <w:rPr>
          <w:color w:val="0000FF"/>
        </w:rPr>
        <w:t xml:space="preserve">Katla </w:t>
      </w:r>
      <w:r w:rsidRPr="003015C7">
        <w:rPr>
          <w:i/>
          <w:iCs/>
          <w:color w:val="0000FF"/>
        </w:rPr>
        <w:t>et al</w:t>
      </w:r>
      <w:r w:rsidRPr="003015C7">
        <w:rPr>
          <w:color w:val="0000FF"/>
        </w:rPr>
        <w:t>., 2003</w:t>
      </w:r>
      <w:r>
        <w:rPr>
          <w:color w:val="0000FF"/>
        </w:rPr>
        <w:t xml:space="preserve"> </w:t>
      </w:r>
      <w:r w:rsidRPr="003015C7">
        <w:rPr>
          <w:color w:val="0000FF"/>
        </w:rPr>
        <w:t>;</w:t>
      </w:r>
      <w:r w:rsidRPr="003015C7">
        <w:rPr>
          <w:color w:val="FF0000"/>
        </w:rPr>
        <w:t xml:space="preserve"> </w:t>
      </w:r>
      <w:r w:rsidRPr="003015C7">
        <w:rPr>
          <w:color w:val="0000FF"/>
        </w:rPr>
        <w:t xml:space="preserve">Rodriguez </w:t>
      </w:r>
      <w:r w:rsidRPr="003015C7">
        <w:rPr>
          <w:i/>
          <w:iCs/>
          <w:color w:val="0000FF"/>
        </w:rPr>
        <w:t>et al</w:t>
      </w:r>
      <w:r w:rsidRPr="003015C7">
        <w:rPr>
          <w:color w:val="0000FF"/>
        </w:rPr>
        <w:t>., 2005)</w:t>
      </w:r>
      <w:r w:rsidRPr="003015C7">
        <w:t xml:space="preserve"> ou dans des aliments comme le saumon fumé </w:t>
      </w:r>
      <w:r w:rsidRPr="003015C7">
        <w:rPr>
          <w:color w:val="0000FF"/>
        </w:rPr>
        <w:t xml:space="preserve">(Brillet </w:t>
      </w:r>
      <w:r w:rsidRPr="003015C7">
        <w:rPr>
          <w:i/>
          <w:iCs/>
          <w:color w:val="0000FF"/>
        </w:rPr>
        <w:t>et al</w:t>
      </w:r>
      <w:r w:rsidRPr="003015C7">
        <w:rPr>
          <w:color w:val="0000FF"/>
        </w:rPr>
        <w:t>., 2004)</w:t>
      </w:r>
      <w:r w:rsidRPr="003015C7">
        <w:t xml:space="preserve"> les saucisses </w:t>
      </w:r>
      <w:r w:rsidRPr="003015C7">
        <w:rPr>
          <w:color w:val="0000FF"/>
        </w:rPr>
        <w:t xml:space="preserve">(Ananou </w:t>
      </w:r>
      <w:r w:rsidRPr="003015C7">
        <w:rPr>
          <w:i/>
          <w:iCs/>
          <w:color w:val="0000FF"/>
        </w:rPr>
        <w:t>et al</w:t>
      </w:r>
      <w:r w:rsidRPr="003015C7">
        <w:rPr>
          <w:color w:val="0000FF"/>
        </w:rPr>
        <w:t>., 2005)</w:t>
      </w:r>
      <w:r w:rsidRPr="003015C7">
        <w:t xml:space="preserve"> ou les légumes (</w:t>
      </w:r>
      <w:r w:rsidRPr="003015C7">
        <w:rPr>
          <w:color w:val="0000FF"/>
        </w:rPr>
        <w:t xml:space="preserve">Cobo Molinos </w:t>
      </w:r>
      <w:r w:rsidRPr="003015C7">
        <w:rPr>
          <w:i/>
          <w:iCs/>
          <w:color w:val="0000FF"/>
        </w:rPr>
        <w:t>et al</w:t>
      </w:r>
      <w:r w:rsidRPr="003015C7">
        <w:rPr>
          <w:color w:val="0000FF"/>
        </w:rPr>
        <w:t>., 2005)</w:t>
      </w:r>
      <w:r w:rsidRPr="003015C7">
        <w:t>.</w:t>
      </w:r>
    </w:p>
    <w:p w:rsidR="00723E07" w:rsidRDefault="00723E07" w:rsidP="00723E07">
      <w:pPr>
        <w:autoSpaceDE w:val="0"/>
        <w:autoSpaceDN w:val="0"/>
        <w:adjustRightInd w:val="0"/>
        <w:spacing w:before="120" w:after="120" w:line="360" w:lineRule="auto"/>
        <w:ind w:firstLine="708"/>
        <w:jc w:val="both"/>
        <w:rPr>
          <w:b/>
          <w:bCs/>
          <w:u w:val="single"/>
        </w:rPr>
      </w:pPr>
    </w:p>
    <w:p w:rsidR="00723E07" w:rsidRDefault="00723E07" w:rsidP="00723E07">
      <w:pPr>
        <w:autoSpaceDE w:val="0"/>
        <w:autoSpaceDN w:val="0"/>
        <w:adjustRightInd w:val="0"/>
        <w:spacing w:before="120" w:after="120" w:line="360" w:lineRule="auto"/>
        <w:ind w:firstLine="708"/>
        <w:jc w:val="both"/>
        <w:rPr>
          <w:b/>
          <w:bCs/>
          <w:u w:val="single"/>
        </w:rPr>
      </w:pPr>
    </w:p>
    <w:p w:rsidR="00723E07" w:rsidRDefault="00723E07" w:rsidP="00723E07">
      <w:pPr>
        <w:autoSpaceDE w:val="0"/>
        <w:autoSpaceDN w:val="0"/>
        <w:adjustRightInd w:val="0"/>
        <w:spacing w:before="120" w:after="120" w:line="360" w:lineRule="auto"/>
        <w:ind w:firstLine="708"/>
        <w:jc w:val="both"/>
        <w:rPr>
          <w:b/>
          <w:bCs/>
          <w:u w:val="single"/>
        </w:rPr>
      </w:pPr>
    </w:p>
    <w:p w:rsidR="00723E07" w:rsidRDefault="00723E07" w:rsidP="00723E07">
      <w:pPr>
        <w:autoSpaceDE w:val="0"/>
        <w:autoSpaceDN w:val="0"/>
        <w:adjustRightInd w:val="0"/>
        <w:spacing w:line="360" w:lineRule="auto"/>
        <w:jc w:val="both"/>
      </w:pPr>
      <w:r w:rsidRPr="003015C7">
        <w:rPr>
          <w:b/>
          <w:bCs/>
          <w:u w:val="single"/>
        </w:rPr>
        <w:lastRenderedPageBreak/>
        <w:t>Tableau 3</w:t>
      </w:r>
      <w:r w:rsidRPr="003015C7">
        <w:rPr>
          <w:b/>
          <w:bCs/>
        </w:rPr>
        <w:t xml:space="preserve"> : </w:t>
      </w:r>
      <w:r w:rsidRPr="003015C7">
        <w:t xml:space="preserve">Bactériocines actives </w:t>
      </w:r>
      <w:r w:rsidRPr="003015C7">
        <w:rPr>
          <w:i/>
          <w:iCs/>
        </w:rPr>
        <w:t xml:space="preserve">in vitro </w:t>
      </w:r>
      <w:r w:rsidRPr="003015C7">
        <w:t xml:space="preserve">contre </w:t>
      </w:r>
      <w:r w:rsidRPr="003015C7">
        <w:rPr>
          <w:i/>
          <w:iCs/>
        </w:rPr>
        <w:t>L. monocytogenes</w:t>
      </w:r>
      <w:r>
        <w:t>.</w:t>
      </w:r>
    </w:p>
    <w:p w:rsidR="00723E07" w:rsidRPr="003015C7" w:rsidRDefault="00723E07" w:rsidP="00723E07">
      <w:pPr>
        <w:autoSpaceDE w:val="0"/>
        <w:autoSpaceDN w:val="0"/>
        <w:adjustRightInd w:val="0"/>
        <w:spacing w:line="360" w:lineRule="auto"/>
        <w:jc w:val="both"/>
      </w:pPr>
    </w:p>
    <w:p w:rsidR="00723E07" w:rsidRPr="003015C7" w:rsidRDefault="00723E07" w:rsidP="00723E07">
      <w:pPr>
        <w:pStyle w:val="Titre3"/>
        <w:spacing w:before="0" w:line="360" w:lineRule="auto"/>
        <w:jc w:val="both"/>
        <w:rPr>
          <w:rFonts w:ascii="Times New Roman" w:hAnsi="Times New Roman" w:cs="Times New Roman"/>
        </w:rPr>
      </w:pPr>
      <w:r>
        <w:rPr>
          <w:rFonts w:ascii="Times New Roman" w:hAnsi="Times New Roman" w:cs="Times New Roman"/>
          <w:noProof/>
        </w:rPr>
        <w:drawing>
          <wp:inline distT="0" distB="0" distL="0" distR="0">
            <wp:extent cx="4552950" cy="5153025"/>
            <wp:effectExtent l="19050" t="0" r="0" b="0"/>
            <wp:docPr id="13"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srcRect/>
                    <a:stretch>
                      <a:fillRect/>
                    </a:stretch>
                  </pic:blipFill>
                  <pic:spPr bwMode="auto">
                    <a:xfrm>
                      <a:off x="0" y="0"/>
                      <a:ext cx="4552950" cy="5153025"/>
                    </a:xfrm>
                    <a:prstGeom prst="rect">
                      <a:avLst/>
                    </a:prstGeom>
                    <a:noFill/>
                    <a:ln w="9525">
                      <a:noFill/>
                      <a:miter lim="800000"/>
                      <a:headEnd/>
                      <a:tailEnd/>
                    </a:ln>
                  </pic:spPr>
                </pic:pic>
              </a:graphicData>
            </a:graphic>
          </wp:inline>
        </w:drawing>
      </w:r>
    </w:p>
    <w:p w:rsidR="00723E07" w:rsidRPr="003015C7" w:rsidRDefault="00723E07" w:rsidP="00723E07">
      <w:pPr>
        <w:autoSpaceDE w:val="0"/>
        <w:autoSpaceDN w:val="0"/>
        <w:adjustRightInd w:val="0"/>
        <w:spacing w:line="360" w:lineRule="auto"/>
        <w:ind w:firstLine="708"/>
        <w:jc w:val="both"/>
      </w:pPr>
      <w:r w:rsidRPr="003015C7">
        <w:t xml:space="preserve">Toute cette gamme de bactériocines actives contre </w:t>
      </w:r>
      <w:r w:rsidRPr="00CC4071">
        <w:rPr>
          <w:i/>
          <w:iCs/>
        </w:rPr>
        <w:t xml:space="preserve">L. monocytogenes  </w:t>
      </w:r>
      <w:r w:rsidRPr="003015C7">
        <w:t>représente tout autant de moyen pour limiter la propagation de ce pathogène dans les aliments.</w:t>
      </w:r>
      <w:r>
        <w:t xml:space="preserve"> </w:t>
      </w:r>
      <w:r w:rsidRPr="003015C7">
        <w:t xml:space="preserve"> Cependant, les applications courantes utilisant des bactériocines pour limiter la propagation de </w:t>
      </w:r>
      <w:r w:rsidRPr="00CC4071">
        <w:rPr>
          <w:i/>
          <w:iCs/>
        </w:rPr>
        <w:t xml:space="preserve">L. monocytogenes  </w:t>
      </w:r>
      <w:r w:rsidRPr="003015C7">
        <w:t>sont pratiquement inexistantes.</w:t>
      </w:r>
    </w:p>
    <w:p w:rsidR="00723E07" w:rsidRPr="003015C7" w:rsidRDefault="00723E07" w:rsidP="00723E07">
      <w:pPr>
        <w:autoSpaceDE w:val="0"/>
        <w:autoSpaceDN w:val="0"/>
        <w:adjustRightInd w:val="0"/>
        <w:spacing w:before="120" w:after="120" w:line="360" w:lineRule="auto"/>
        <w:ind w:firstLine="708"/>
        <w:jc w:val="both"/>
        <w:rPr>
          <w:b/>
          <w:bCs/>
          <w:color w:val="FF0000"/>
        </w:rPr>
      </w:pPr>
      <w:r w:rsidRPr="008A703E">
        <w:rPr>
          <w:b/>
          <w:bCs/>
        </w:rPr>
        <w:t>II.2.</w:t>
      </w:r>
      <w:r>
        <w:rPr>
          <w:b/>
          <w:bCs/>
        </w:rPr>
        <w:t>5</w:t>
      </w:r>
      <w:r w:rsidRPr="008A703E">
        <w:rPr>
          <w:b/>
          <w:bCs/>
        </w:rPr>
        <w:t>.</w:t>
      </w:r>
      <w:r>
        <w:rPr>
          <w:b/>
          <w:bCs/>
        </w:rPr>
        <w:t xml:space="preserve">3.2. </w:t>
      </w:r>
      <w:r w:rsidRPr="002C5C25">
        <w:rPr>
          <w:b/>
          <w:bCs/>
        </w:rPr>
        <w:t>Les probiotiques</w:t>
      </w:r>
    </w:p>
    <w:p w:rsidR="00723E07" w:rsidRPr="003015C7" w:rsidRDefault="00723E07" w:rsidP="00723E07">
      <w:pPr>
        <w:autoSpaceDE w:val="0"/>
        <w:autoSpaceDN w:val="0"/>
        <w:adjustRightInd w:val="0"/>
        <w:spacing w:before="120" w:after="120" w:line="360" w:lineRule="auto"/>
        <w:ind w:firstLine="708"/>
        <w:jc w:val="both"/>
      </w:pPr>
      <w:r w:rsidRPr="003015C7">
        <w:t xml:space="preserve">L'utilisation des probiotiques pour la prévention ou le traitement d'infections causées par </w:t>
      </w:r>
      <w:r w:rsidRPr="00CC4071">
        <w:rPr>
          <w:i/>
          <w:iCs/>
        </w:rPr>
        <w:t xml:space="preserve">L. monocytogenes  </w:t>
      </w:r>
      <w:r w:rsidRPr="003015C7">
        <w:t>n'est pas répandue dans la littérature. En effet, les rapports démontrant l'efficacité des probiotiques sur ce pathogène sont très limités.</w:t>
      </w:r>
    </w:p>
    <w:p w:rsidR="00723E07" w:rsidRPr="003015C7" w:rsidRDefault="00723E07" w:rsidP="00723E07">
      <w:pPr>
        <w:autoSpaceDE w:val="0"/>
        <w:autoSpaceDN w:val="0"/>
        <w:adjustRightInd w:val="0"/>
        <w:spacing w:before="120" w:after="120" w:line="360" w:lineRule="auto"/>
        <w:ind w:firstLine="708"/>
        <w:jc w:val="both"/>
      </w:pPr>
      <w:r w:rsidRPr="003015C7">
        <w:t xml:space="preserve">Une première étude démontrant </w:t>
      </w:r>
      <w:r w:rsidRPr="003015C7">
        <w:rPr>
          <w:i/>
          <w:iCs/>
        </w:rPr>
        <w:t xml:space="preserve">in vivo </w:t>
      </w:r>
      <w:r w:rsidRPr="003015C7">
        <w:t xml:space="preserve">l'efficacité d'une souche de </w:t>
      </w:r>
      <w:r w:rsidRPr="003015C7">
        <w:rPr>
          <w:i/>
          <w:iCs/>
        </w:rPr>
        <w:t xml:space="preserve">Lactobacillus casei </w:t>
      </w:r>
      <w:r w:rsidRPr="003015C7">
        <w:t xml:space="preserve">contre une infection à </w:t>
      </w:r>
      <w:r w:rsidRPr="00B70668">
        <w:rPr>
          <w:i/>
          <w:iCs/>
        </w:rPr>
        <w:t xml:space="preserve">Listeria </w:t>
      </w:r>
      <w:r w:rsidRPr="003015C7">
        <w:rPr>
          <w:i/>
          <w:iCs/>
        </w:rPr>
        <w:t xml:space="preserve"> monocytogenes </w:t>
      </w:r>
      <w:r w:rsidRPr="003015C7">
        <w:t xml:space="preserve">a été présentée par </w:t>
      </w:r>
      <w:r w:rsidRPr="003015C7">
        <w:rPr>
          <w:color w:val="0000FF"/>
        </w:rPr>
        <w:t>Sato (1984)</w:t>
      </w:r>
      <w:r w:rsidRPr="003015C7">
        <w:t xml:space="preserve">. Les résultats de cette étude montrent que l'administration intraveineuse d'un </w:t>
      </w:r>
      <w:r w:rsidRPr="003015C7">
        <w:rPr>
          <w:i/>
          <w:iCs/>
        </w:rPr>
        <w:lastRenderedPageBreak/>
        <w:t xml:space="preserve">Lactobacillus casei YIT0003 </w:t>
      </w:r>
      <w:r w:rsidRPr="003015C7">
        <w:t xml:space="preserve">mène à l'arrêt de la prolifération de </w:t>
      </w:r>
      <w:r w:rsidRPr="00CC4071">
        <w:rPr>
          <w:i/>
          <w:iCs/>
        </w:rPr>
        <w:t xml:space="preserve">L. monocytogenes  </w:t>
      </w:r>
      <w:r w:rsidRPr="003015C7">
        <w:t xml:space="preserve">dans le foie et que cet effet est dû à la stimulation des macrophages par </w:t>
      </w:r>
      <w:r w:rsidRPr="003015C7">
        <w:rPr>
          <w:i/>
          <w:iCs/>
        </w:rPr>
        <w:t xml:space="preserve">L. casei. </w:t>
      </w:r>
      <w:r w:rsidRPr="003015C7">
        <w:t xml:space="preserve">De plus, cet auteur a observé un taux de survie supérieur chez les souris ayant reçu une dose de </w:t>
      </w:r>
      <w:r w:rsidRPr="003015C7">
        <w:rPr>
          <w:i/>
          <w:iCs/>
        </w:rPr>
        <w:t xml:space="preserve">L. casei </w:t>
      </w:r>
      <w:r w:rsidRPr="003015C7">
        <w:t>comparé aux témoins d'infection.</w:t>
      </w:r>
    </w:p>
    <w:p w:rsidR="00723E07" w:rsidRDefault="00723E07" w:rsidP="00723E07">
      <w:pPr>
        <w:autoSpaceDE w:val="0"/>
        <w:autoSpaceDN w:val="0"/>
        <w:adjustRightInd w:val="0"/>
        <w:spacing w:before="120" w:after="120" w:line="360" w:lineRule="auto"/>
        <w:ind w:firstLine="708"/>
        <w:jc w:val="both"/>
      </w:pPr>
      <w:r w:rsidRPr="003015C7">
        <w:t xml:space="preserve">De plus, </w:t>
      </w:r>
      <w:r w:rsidRPr="003015C7">
        <w:rPr>
          <w:color w:val="0000FF"/>
        </w:rPr>
        <w:t xml:space="preserve">De Waard </w:t>
      </w:r>
      <w:r w:rsidRPr="003015C7">
        <w:rPr>
          <w:i/>
          <w:iCs/>
          <w:color w:val="0000FF"/>
        </w:rPr>
        <w:t>et al</w:t>
      </w:r>
      <w:r w:rsidRPr="003015C7">
        <w:rPr>
          <w:color w:val="0000FF"/>
        </w:rPr>
        <w:t>. (2002)</w:t>
      </w:r>
      <w:r w:rsidRPr="003015C7">
        <w:t xml:space="preserve"> ont étudié la capacité d'un </w:t>
      </w:r>
      <w:r w:rsidRPr="003015C7">
        <w:rPr>
          <w:i/>
          <w:iCs/>
        </w:rPr>
        <w:t xml:space="preserve">Lactobacillus casei </w:t>
      </w:r>
      <w:r w:rsidRPr="003015C7">
        <w:t xml:space="preserve">souche </w:t>
      </w:r>
      <w:r w:rsidRPr="003015C7">
        <w:rPr>
          <w:i/>
          <w:iCs/>
        </w:rPr>
        <w:t>shirota</w:t>
      </w:r>
      <w:r w:rsidRPr="003015C7">
        <w:t xml:space="preserve"> YIT9029 à bloquer une infection à </w:t>
      </w:r>
      <w:r w:rsidRPr="00CC4071">
        <w:rPr>
          <w:i/>
          <w:iCs/>
        </w:rPr>
        <w:t xml:space="preserve">L. monocytogenes  </w:t>
      </w:r>
      <w:r w:rsidRPr="003015C7">
        <w:t xml:space="preserve">chez le rat. Ces auteurs ont observé une diminution du nombre de </w:t>
      </w:r>
      <w:r w:rsidRPr="00CC4071">
        <w:rPr>
          <w:i/>
          <w:iCs/>
        </w:rPr>
        <w:t xml:space="preserve">L. monocytogenes  </w:t>
      </w:r>
      <w:r w:rsidRPr="003015C7">
        <w:t xml:space="preserve">dans le caecum, les fèces, la rate et le foie des rats ayant reçu le probiotique, comparé au groupe de rats sans probiotique. </w:t>
      </w:r>
    </w:p>
    <w:p w:rsidR="00723E07" w:rsidRPr="003015C7" w:rsidRDefault="00723E07" w:rsidP="00723E07">
      <w:pPr>
        <w:autoSpaceDE w:val="0"/>
        <w:autoSpaceDN w:val="0"/>
        <w:adjustRightInd w:val="0"/>
        <w:spacing w:before="120" w:after="120" w:line="360" w:lineRule="auto"/>
        <w:ind w:firstLine="708"/>
        <w:jc w:val="both"/>
        <w:rPr>
          <w:i/>
          <w:iCs/>
        </w:rPr>
      </w:pPr>
      <w:r w:rsidRPr="002C5C25">
        <w:rPr>
          <w:color w:val="0000FF"/>
        </w:rPr>
        <w:t xml:space="preserve">De Waard </w:t>
      </w:r>
      <w:r w:rsidRPr="002C5C25">
        <w:rPr>
          <w:i/>
          <w:iCs/>
          <w:color w:val="0000FF"/>
        </w:rPr>
        <w:t>et al</w:t>
      </w:r>
      <w:r w:rsidRPr="003015C7">
        <w:t xml:space="preserve">. ont conclu que cette diminution de l'infection était due à l'augmentation de la réponse immunitaire cellulaire associée principalement à la modulation de l'activité des macrophages, ces derniers jouant un rôle important dans la réponse </w:t>
      </w:r>
      <w:r w:rsidRPr="003015C7">
        <w:rPr>
          <w:i/>
          <w:iCs/>
        </w:rPr>
        <w:t>anti-</w:t>
      </w:r>
      <w:r w:rsidRPr="00B70668">
        <w:rPr>
          <w:i/>
          <w:iCs/>
        </w:rPr>
        <w:t>Listeria.</w:t>
      </w:r>
    </w:p>
    <w:p w:rsidR="00723E07" w:rsidRPr="003015C7" w:rsidRDefault="00723E07" w:rsidP="00723E07">
      <w:pPr>
        <w:autoSpaceDE w:val="0"/>
        <w:autoSpaceDN w:val="0"/>
        <w:adjustRightInd w:val="0"/>
        <w:spacing w:before="120" w:after="120" w:line="360" w:lineRule="auto"/>
        <w:ind w:firstLine="708"/>
        <w:jc w:val="both"/>
        <w:rPr>
          <w:i/>
          <w:iCs/>
        </w:rPr>
      </w:pPr>
      <w:r w:rsidRPr="003015C7">
        <w:t xml:space="preserve">Finalement </w:t>
      </w:r>
      <w:r w:rsidRPr="003015C7">
        <w:rPr>
          <w:color w:val="0000FF"/>
        </w:rPr>
        <w:t>Mahoney et Henriksson (2003)</w:t>
      </w:r>
      <w:r w:rsidRPr="003015C7">
        <w:t xml:space="preserve"> ont étudié l'effet de la consommation d'un salami contenant des souches probiotiques sur une infection à </w:t>
      </w:r>
      <w:r w:rsidRPr="003015C7">
        <w:rPr>
          <w:i/>
          <w:iCs/>
        </w:rPr>
        <w:t>L. monocytogenes.</w:t>
      </w:r>
    </w:p>
    <w:p w:rsidR="00723E07" w:rsidRPr="003015C7" w:rsidRDefault="00723E07" w:rsidP="00723E07">
      <w:pPr>
        <w:autoSpaceDE w:val="0"/>
        <w:autoSpaceDN w:val="0"/>
        <w:adjustRightInd w:val="0"/>
        <w:spacing w:before="120" w:after="120" w:line="360" w:lineRule="auto"/>
        <w:ind w:firstLine="708"/>
        <w:jc w:val="both"/>
      </w:pPr>
      <w:r w:rsidRPr="003015C7">
        <w:t xml:space="preserve">L'infection développée par les animaux ayant reçu une ration de salami contaminée avec </w:t>
      </w:r>
      <w:r w:rsidRPr="00CC4071">
        <w:rPr>
          <w:i/>
          <w:iCs/>
        </w:rPr>
        <w:t xml:space="preserve">L. monocytogenes  </w:t>
      </w:r>
      <w:r w:rsidRPr="003015C7">
        <w:t>contenant le ferment probiotique fut moins importante que chez ceux ayant reçu une ration de salami traditionnel contaminée. Les auteurs expliquent ce résultat par plusieurs facteurs comme l'emprisonnement du pathogène dans la matrice alimentaire, la compétition pour les nutriments entre le pathogène et le probiotique et finalement la production d'agents antimicrobiens par la culture probiotique.</w:t>
      </w:r>
    </w:p>
    <w:p w:rsidR="00723E07" w:rsidRDefault="00723E07" w:rsidP="00723E07">
      <w:pPr>
        <w:autoSpaceDE w:val="0"/>
        <w:autoSpaceDN w:val="0"/>
        <w:adjustRightInd w:val="0"/>
        <w:spacing w:before="120" w:after="120" w:line="360" w:lineRule="auto"/>
        <w:ind w:firstLine="708"/>
        <w:jc w:val="both"/>
        <w:rPr>
          <w:color w:val="FF0000"/>
        </w:rPr>
      </w:pPr>
      <w:r w:rsidRPr="003015C7">
        <w:t xml:space="preserve">Ces études représentent l'ensemble des essais de contrôle des infections à </w:t>
      </w:r>
      <w:r>
        <w:t xml:space="preserve">                     </w:t>
      </w:r>
      <w:r w:rsidRPr="00CC4071">
        <w:rPr>
          <w:i/>
          <w:iCs/>
        </w:rPr>
        <w:t xml:space="preserve">L. monocytogenes  </w:t>
      </w:r>
      <w:r w:rsidRPr="003015C7">
        <w:rPr>
          <w:i/>
          <w:iCs/>
        </w:rPr>
        <w:t xml:space="preserve">in vivo. </w:t>
      </w:r>
      <w:r w:rsidRPr="003015C7">
        <w:t xml:space="preserve">Par contre, plusieurs études ont utilisé des modèles </w:t>
      </w:r>
      <w:r w:rsidRPr="003015C7">
        <w:rPr>
          <w:i/>
          <w:iCs/>
        </w:rPr>
        <w:t xml:space="preserve">in vitro </w:t>
      </w:r>
      <w:r w:rsidRPr="003015C7">
        <w:t xml:space="preserve">d'adhésion cellulaire pour évaluer le potentiel inhibiteur de souches probiotiques contre </w:t>
      </w:r>
      <w:r w:rsidRPr="00CC4071">
        <w:rPr>
          <w:i/>
          <w:iCs/>
        </w:rPr>
        <w:t xml:space="preserve">L. monocytogenes  </w:t>
      </w:r>
      <w:r w:rsidRPr="003015C7">
        <w:t>(</w:t>
      </w:r>
      <w:r w:rsidRPr="003015C7">
        <w:rPr>
          <w:color w:val="0000FF"/>
        </w:rPr>
        <w:t xml:space="preserve">Coconnier </w:t>
      </w:r>
      <w:r w:rsidRPr="003015C7">
        <w:rPr>
          <w:i/>
          <w:iCs/>
          <w:color w:val="0000FF"/>
        </w:rPr>
        <w:t>et al</w:t>
      </w:r>
      <w:r w:rsidRPr="003015C7">
        <w:rPr>
          <w:color w:val="0000FF"/>
        </w:rPr>
        <w:t>., 1997 ;</w:t>
      </w:r>
      <w:r w:rsidRPr="003015C7">
        <w:rPr>
          <w:color w:val="FF0000"/>
        </w:rPr>
        <w:t xml:space="preserve"> </w:t>
      </w:r>
      <w:r w:rsidRPr="003015C7">
        <w:rPr>
          <w:color w:val="0000FF"/>
        </w:rPr>
        <w:t>Servin et Coconnier, 2003 ; Se</w:t>
      </w:r>
      <w:r>
        <w:rPr>
          <w:color w:val="0000FF"/>
        </w:rPr>
        <w:t>r</w:t>
      </w:r>
      <w:r w:rsidRPr="003015C7">
        <w:rPr>
          <w:color w:val="0000FF"/>
        </w:rPr>
        <w:t>vin, 2004).</w:t>
      </w:r>
      <w:r w:rsidRPr="003015C7">
        <w:rPr>
          <w:color w:val="FF0000"/>
        </w:rPr>
        <w:t xml:space="preserve"> </w:t>
      </w:r>
    </w:p>
    <w:p w:rsidR="00723E07" w:rsidRPr="003015C7" w:rsidRDefault="00723E07" w:rsidP="00723E07">
      <w:pPr>
        <w:autoSpaceDE w:val="0"/>
        <w:autoSpaceDN w:val="0"/>
        <w:adjustRightInd w:val="0"/>
        <w:spacing w:before="120" w:after="120" w:line="360" w:lineRule="auto"/>
        <w:ind w:firstLine="708"/>
        <w:jc w:val="both"/>
      </w:pPr>
      <w:r w:rsidRPr="003015C7">
        <w:t xml:space="preserve">Cependant, comme ces modèles </w:t>
      </w:r>
      <w:r w:rsidRPr="003015C7">
        <w:rPr>
          <w:i/>
          <w:iCs/>
        </w:rPr>
        <w:t xml:space="preserve">in vitro </w:t>
      </w:r>
      <w:r w:rsidRPr="003015C7">
        <w:t xml:space="preserve">ne font intervenir qu'une seule facette du processus d'infection à </w:t>
      </w:r>
      <w:r w:rsidRPr="003015C7">
        <w:rPr>
          <w:i/>
          <w:iCs/>
        </w:rPr>
        <w:t xml:space="preserve">L. monocytogenes, </w:t>
      </w:r>
      <w:r w:rsidRPr="003015C7">
        <w:t>il est difficile de prévoir l'effet qu'auraient ces souches probiotiques dans un modèle animal ou même chez l'humain.</w:t>
      </w:r>
    </w:p>
    <w:p w:rsidR="00723E07" w:rsidRPr="003015C7" w:rsidRDefault="00723E07" w:rsidP="00723E07">
      <w:pPr>
        <w:autoSpaceDE w:val="0"/>
        <w:autoSpaceDN w:val="0"/>
        <w:adjustRightInd w:val="0"/>
        <w:spacing w:before="120" w:after="120" w:line="360" w:lineRule="auto"/>
        <w:ind w:firstLine="708"/>
        <w:jc w:val="both"/>
        <w:rPr>
          <w:b/>
          <w:bCs/>
          <w:i/>
          <w:iCs/>
          <w:color w:val="FF0000"/>
        </w:rPr>
      </w:pPr>
      <w:r w:rsidRPr="008A703E">
        <w:rPr>
          <w:b/>
          <w:bCs/>
        </w:rPr>
        <w:t>II.2.</w:t>
      </w:r>
      <w:r>
        <w:rPr>
          <w:b/>
          <w:bCs/>
        </w:rPr>
        <w:t>6</w:t>
      </w:r>
      <w:r w:rsidRPr="008A703E">
        <w:rPr>
          <w:b/>
          <w:bCs/>
        </w:rPr>
        <w:t>.</w:t>
      </w:r>
      <w:r>
        <w:rPr>
          <w:b/>
          <w:bCs/>
        </w:rPr>
        <w:t xml:space="preserve"> </w:t>
      </w:r>
      <w:r w:rsidRPr="00C04E98">
        <w:rPr>
          <w:b/>
          <w:bCs/>
        </w:rPr>
        <w:t xml:space="preserve">Pathogenèse de </w:t>
      </w:r>
      <w:r w:rsidRPr="00C04E98">
        <w:rPr>
          <w:b/>
          <w:bCs/>
          <w:i/>
          <w:iCs/>
        </w:rPr>
        <w:t>Listeria  monocytogenes</w:t>
      </w:r>
    </w:p>
    <w:p w:rsidR="00723E07" w:rsidRPr="003015C7" w:rsidRDefault="00723E07" w:rsidP="00723E07">
      <w:pPr>
        <w:autoSpaceDE w:val="0"/>
        <w:autoSpaceDN w:val="0"/>
        <w:adjustRightInd w:val="0"/>
        <w:spacing w:before="120" w:after="120" w:line="360" w:lineRule="auto"/>
        <w:ind w:firstLine="708"/>
        <w:jc w:val="both"/>
      </w:pPr>
      <w:r w:rsidRPr="003015C7">
        <w:t xml:space="preserve">Les principales étapes du parcours de </w:t>
      </w:r>
      <w:r w:rsidRPr="00CC4071">
        <w:rPr>
          <w:i/>
          <w:iCs/>
        </w:rPr>
        <w:t xml:space="preserve">L. monocytogenes  </w:t>
      </w:r>
      <w:r w:rsidRPr="003015C7">
        <w:t xml:space="preserve">sont schématisées à la figure </w:t>
      </w:r>
      <w:r>
        <w:t xml:space="preserve">4 </w:t>
      </w:r>
      <w:r w:rsidRPr="003015C7">
        <w:t xml:space="preserve">Tout d'abord, la bactérie entre dans l'organisme par le tube digestif le plus </w:t>
      </w:r>
      <w:r w:rsidRPr="003015C7">
        <w:lastRenderedPageBreak/>
        <w:t xml:space="preserve">souvent par l'entremise d'aliments contaminés. Ensuite, sa progression comporte différentes étapes : </w:t>
      </w:r>
    </w:p>
    <w:p w:rsidR="00723E07" w:rsidRPr="003015C7" w:rsidRDefault="00723E07" w:rsidP="00723E07">
      <w:pPr>
        <w:autoSpaceDE w:val="0"/>
        <w:autoSpaceDN w:val="0"/>
        <w:adjustRightInd w:val="0"/>
        <w:spacing w:before="120" w:after="120" w:line="360" w:lineRule="auto"/>
        <w:jc w:val="both"/>
      </w:pPr>
      <w:r w:rsidRPr="00C04E98">
        <w:rPr>
          <w:b/>
          <w:bCs/>
        </w:rPr>
        <w:t>1)</w:t>
      </w:r>
      <w:r w:rsidRPr="003015C7">
        <w:t xml:space="preserve"> </w:t>
      </w:r>
      <w:r>
        <w:t>L</w:t>
      </w:r>
      <w:r w:rsidRPr="003015C7">
        <w:t xml:space="preserve">e passage à travers la paroi intestinale; </w:t>
      </w:r>
    </w:p>
    <w:p w:rsidR="00723E07" w:rsidRPr="003015C7" w:rsidRDefault="00723E07" w:rsidP="00723E07">
      <w:pPr>
        <w:autoSpaceDE w:val="0"/>
        <w:autoSpaceDN w:val="0"/>
        <w:adjustRightInd w:val="0"/>
        <w:spacing w:before="120" w:after="120" w:line="360" w:lineRule="auto"/>
        <w:jc w:val="both"/>
      </w:pPr>
      <w:r w:rsidRPr="00C04E98">
        <w:rPr>
          <w:b/>
          <w:bCs/>
        </w:rPr>
        <w:t>2)</w:t>
      </w:r>
      <w:r w:rsidRPr="003015C7">
        <w:t xml:space="preserve"> </w:t>
      </w:r>
      <w:r>
        <w:t>L</w:t>
      </w:r>
      <w:r w:rsidRPr="003015C7">
        <w:t xml:space="preserve">a multiplication dans le foie; </w:t>
      </w:r>
    </w:p>
    <w:p w:rsidR="00723E07" w:rsidRDefault="00723E07" w:rsidP="00723E07">
      <w:pPr>
        <w:autoSpaceDE w:val="0"/>
        <w:autoSpaceDN w:val="0"/>
        <w:adjustRightInd w:val="0"/>
        <w:spacing w:before="120" w:after="120" w:line="360" w:lineRule="auto"/>
        <w:jc w:val="both"/>
      </w:pPr>
      <w:r w:rsidRPr="00C04E98">
        <w:rPr>
          <w:b/>
          <w:bCs/>
        </w:rPr>
        <w:t>3)</w:t>
      </w:r>
      <w:r w:rsidRPr="003015C7">
        <w:t xml:space="preserve"> </w:t>
      </w:r>
      <w:r>
        <w:t>C</w:t>
      </w:r>
      <w:r w:rsidRPr="003015C7">
        <w:t>olonisation de l'utérus et du fœtus;</w:t>
      </w:r>
    </w:p>
    <w:p w:rsidR="00723E07" w:rsidRDefault="00723E07" w:rsidP="00723E07">
      <w:pPr>
        <w:autoSpaceDE w:val="0"/>
        <w:autoSpaceDN w:val="0"/>
        <w:adjustRightInd w:val="0"/>
        <w:spacing w:before="120" w:after="120" w:line="360" w:lineRule="auto"/>
        <w:jc w:val="both"/>
      </w:pPr>
      <w:r w:rsidRPr="00C04E98">
        <w:rPr>
          <w:b/>
          <w:bCs/>
        </w:rPr>
        <w:t>4)</w:t>
      </w:r>
      <w:r w:rsidRPr="003015C7">
        <w:t xml:space="preserve"> </w:t>
      </w:r>
      <w:r>
        <w:t>I</w:t>
      </w:r>
      <w:r w:rsidRPr="003015C7">
        <w:t>nvasion du système nerveux central.</w:t>
      </w:r>
    </w:p>
    <w:p w:rsidR="00723E07" w:rsidRDefault="00723E07" w:rsidP="00723E07">
      <w:pPr>
        <w:autoSpaceDE w:val="0"/>
        <w:autoSpaceDN w:val="0"/>
        <w:adjustRightInd w:val="0"/>
        <w:spacing w:before="120" w:after="120" w:line="360" w:lineRule="auto"/>
        <w:ind w:firstLine="709"/>
        <w:jc w:val="both"/>
      </w:pPr>
      <w:r w:rsidRPr="003015C7">
        <w:t xml:space="preserve">Cependant, pour arriver au niveau de la paroi intestinale afin de procéder à son entrée dans l'organisme, </w:t>
      </w:r>
      <w:r w:rsidRPr="00CC4071">
        <w:rPr>
          <w:i/>
          <w:iCs/>
        </w:rPr>
        <w:t xml:space="preserve">L. monocytogenes </w:t>
      </w:r>
      <w:r w:rsidRPr="003015C7">
        <w:t xml:space="preserve">doit passer à travers les différentes conditions rencontrées tout le long du tube digestif. </w:t>
      </w:r>
    </w:p>
    <w:p w:rsidR="00723E07" w:rsidRPr="003015C7" w:rsidRDefault="00723E07" w:rsidP="00723E07">
      <w:pPr>
        <w:autoSpaceDE w:val="0"/>
        <w:autoSpaceDN w:val="0"/>
        <w:adjustRightInd w:val="0"/>
        <w:spacing w:before="120" w:after="120" w:line="360" w:lineRule="auto"/>
        <w:ind w:firstLine="708"/>
        <w:jc w:val="both"/>
      </w:pPr>
      <w:r w:rsidRPr="003015C7">
        <w:t xml:space="preserve">Lors de ce passage, l'acidité gastrique a un effet sur la viabilité des cellules de </w:t>
      </w:r>
      <w:r w:rsidRPr="00B70668">
        <w:rPr>
          <w:i/>
          <w:iCs/>
        </w:rPr>
        <w:t xml:space="preserve">Listeria </w:t>
      </w:r>
      <w:r w:rsidRPr="003015C7">
        <w:rPr>
          <w:i/>
          <w:iCs/>
        </w:rPr>
        <w:t xml:space="preserve"> </w:t>
      </w:r>
      <w:r w:rsidRPr="003015C7">
        <w:t>et provoque une diminution des cellules viables. Par contre, selon la charge bactérienne initiale de l'aliment contaminé, plusieurs cellules viables peuvent se rendre au site d'entrée dans l'organisme qui se situe au niveau de la paroi intestinale. Une fois la bactérie arrivée à son site d'entrée, les étapes suivantes se succèdent :</w:t>
      </w:r>
    </w:p>
    <w:p w:rsidR="00723E07" w:rsidRDefault="00723E07" w:rsidP="00723E07">
      <w:pPr>
        <w:pStyle w:val="Paragraphedeliste"/>
        <w:numPr>
          <w:ilvl w:val="0"/>
          <w:numId w:val="32"/>
        </w:numPr>
        <w:autoSpaceDE w:val="0"/>
        <w:autoSpaceDN w:val="0"/>
        <w:adjustRightInd w:val="0"/>
        <w:spacing w:before="120" w:after="120" w:line="360" w:lineRule="auto"/>
        <w:ind w:left="0"/>
        <w:jc w:val="both"/>
      </w:pPr>
      <w:r w:rsidRPr="003015C7">
        <w:t xml:space="preserve">Passage à travers la paroi intestinale : C'est au niveau de la paroi intestinale que </w:t>
      </w:r>
      <w:r w:rsidRPr="003600D0">
        <w:rPr>
          <w:i/>
          <w:iCs/>
        </w:rPr>
        <w:t xml:space="preserve">Listeria  monocytogenes </w:t>
      </w:r>
      <w:r w:rsidRPr="003015C7">
        <w:t xml:space="preserve">entre à l'intérieur de l'organisme. Cependant, le lieu exact de cette invasion de l'hôte n'est pas encore connu avec certitude. </w:t>
      </w:r>
    </w:p>
    <w:p w:rsidR="00723E07" w:rsidRDefault="00723E07" w:rsidP="00723E07">
      <w:pPr>
        <w:autoSpaceDE w:val="0"/>
        <w:autoSpaceDN w:val="0"/>
        <w:adjustRightInd w:val="0"/>
        <w:spacing w:before="120" w:after="120" w:line="360" w:lineRule="auto"/>
        <w:ind w:firstLine="348"/>
        <w:jc w:val="both"/>
      </w:pPr>
      <w:r w:rsidRPr="003015C7">
        <w:t xml:space="preserve">En fait, des études suggèrent que </w:t>
      </w:r>
      <w:r w:rsidRPr="003600D0">
        <w:rPr>
          <w:i/>
          <w:iCs/>
        </w:rPr>
        <w:t xml:space="preserve">L. monocytogenes  </w:t>
      </w:r>
      <w:r w:rsidRPr="003015C7">
        <w:t xml:space="preserve">pourrait pénétrer dans l'organisme par l'invasion des cellules épithéliales de l'intestin </w:t>
      </w:r>
      <w:r w:rsidRPr="003600D0">
        <w:rPr>
          <w:color w:val="0000FF"/>
        </w:rPr>
        <w:t>(Berche, 1999)</w:t>
      </w:r>
      <w:r w:rsidRPr="003015C7">
        <w:t xml:space="preserve">. Par contre, certains auteurs ont rapporté que le site d'invasion se situerait plutôt au niveau des plaques de Payer </w:t>
      </w:r>
      <w:r w:rsidRPr="003600D0">
        <w:rPr>
          <w:color w:val="0000FF"/>
        </w:rPr>
        <w:t xml:space="preserve">(Marco </w:t>
      </w:r>
      <w:r w:rsidRPr="003600D0">
        <w:rPr>
          <w:i/>
          <w:iCs/>
          <w:color w:val="0000FF"/>
        </w:rPr>
        <w:t>et al</w:t>
      </w:r>
      <w:r w:rsidRPr="003600D0">
        <w:rPr>
          <w:color w:val="0000FF"/>
        </w:rPr>
        <w:t>., 1997)</w:t>
      </w:r>
      <w:r w:rsidRPr="003015C7">
        <w:t>.</w:t>
      </w:r>
    </w:p>
    <w:p w:rsidR="00723E07" w:rsidRDefault="00723E07" w:rsidP="00723E07">
      <w:pPr>
        <w:autoSpaceDE w:val="0"/>
        <w:autoSpaceDN w:val="0"/>
        <w:adjustRightInd w:val="0"/>
        <w:spacing w:before="120" w:after="120" w:line="360" w:lineRule="auto"/>
        <w:jc w:val="both"/>
      </w:pPr>
      <w:r w:rsidRPr="003F0835">
        <w:rPr>
          <w:b/>
          <w:bCs/>
        </w:rPr>
        <w:t>2)</w:t>
      </w:r>
      <w:r w:rsidRPr="003015C7">
        <w:t xml:space="preserve"> Multiplication dans le foie : Une fois les bactéries pénétrées dans l'organisme, elles utilisent la circulation sanguine ou le réseau lymphatique pour se diriger vers les organes cibles comme la rate et le foie </w:t>
      </w:r>
      <w:r w:rsidRPr="003015C7">
        <w:rPr>
          <w:color w:val="0000FF"/>
        </w:rPr>
        <w:t xml:space="preserve">(Vâsquez-Boland </w:t>
      </w:r>
      <w:r w:rsidRPr="003015C7">
        <w:rPr>
          <w:i/>
          <w:iCs/>
          <w:color w:val="0000FF"/>
        </w:rPr>
        <w:t>et al</w:t>
      </w:r>
      <w:r w:rsidRPr="003015C7">
        <w:rPr>
          <w:color w:val="0000FF"/>
        </w:rPr>
        <w:t>., 2001)</w:t>
      </w:r>
      <w:r w:rsidRPr="003015C7">
        <w:t xml:space="preserve">. </w:t>
      </w:r>
    </w:p>
    <w:p w:rsidR="00723E07" w:rsidRDefault="00723E07" w:rsidP="00723E07">
      <w:pPr>
        <w:autoSpaceDE w:val="0"/>
        <w:autoSpaceDN w:val="0"/>
        <w:adjustRightInd w:val="0"/>
        <w:spacing w:before="120" w:after="120"/>
        <w:ind w:left="1134" w:hanging="1134"/>
        <w:jc w:val="both"/>
        <w:rPr>
          <w:b/>
          <w:bCs/>
          <w:u w:val="single"/>
        </w:rPr>
      </w:pPr>
      <w:r w:rsidRPr="003F0835">
        <w:rPr>
          <w:rFonts w:asciiTheme="majorBidi" w:hAnsiTheme="majorBidi" w:cstheme="majorBidi"/>
        </w:rPr>
        <w:t>À</w:t>
      </w:r>
      <w:r>
        <w:rPr>
          <w:rFonts w:asciiTheme="majorBidi" w:hAnsiTheme="majorBidi" w:cstheme="majorBidi"/>
        </w:rPr>
        <w:t xml:space="preserve"> </w:t>
      </w:r>
      <w:r w:rsidRPr="003015C7">
        <w:t xml:space="preserve"> cette étape, </w:t>
      </w:r>
      <w:r>
        <w:t xml:space="preserve">  </w:t>
      </w:r>
      <w:r w:rsidRPr="003015C7">
        <w:t xml:space="preserve">une </w:t>
      </w:r>
      <w:r>
        <w:t xml:space="preserve">  </w:t>
      </w:r>
      <w:r w:rsidRPr="003015C7">
        <w:t xml:space="preserve">grande </w:t>
      </w:r>
      <w:r>
        <w:t xml:space="preserve">  </w:t>
      </w:r>
      <w:r w:rsidRPr="003015C7">
        <w:t>proportion</w:t>
      </w:r>
      <w:r>
        <w:t xml:space="preserve"> </w:t>
      </w:r>
      <w:r w:rsidRPr="003015C7">
        <w:t xml:space="preserve"> des bactéries </w:t>
      </w:r>
      <w:r>
        <w:t xml:space="preserve">  </w:t>
      </w:r>
      <w:r w:rsidRPr="003015C7">
        <w:t xml:space="preserve">est </w:t>
      </w:r>
      <w:r>
        <w:t xml:space="preserve">  </w:t>
      </w:r>
      <w:r w:rsidRPr="003015C7">
        <w:t>tuée</w:t>
      </w:r>
      <w:r>
        <w:t xml:space="preserve">  </w:t>
      </w:r>
      <w:r w:rsidRPr="003015C7">
        <w:t xml:space="preserve"> rapidement</w:t>
      </w:r>
      <w:r>
        <w:t xml:space="preserve">  </w:t>
      </w:r>
      <w:r w:rsidRPr="003015C7">
        <w:t xml:space="preserve"> par </w:t>
      </w:r>
      <w:r>
        <w:t xml:space="preserve">  </w:t>
      </w:r>
      <w:r w:rsidRPr="003015C7">
        <w:t>les</w:t>
      </w:r>
      <w:r w:rsidRPr="002A2E0E">
        <w:t xml:space="preserve"> </w:t>
      </w:r>
    </w:p>
    <w:p w:rsidR="00723E07" w:rsidRPr="003015C7" w:rsidRDefault="00723E07" w:rsidP="00723E07">
      <w:pPr>
        <w:autoSpaceDE w:val="0"/>
        <w:autoSpaceDN w:val="0"/>
        <w:adjustRightInd w:val="0"/>
        <w:spacing w:before="120" w:after="120" w:line="360" w:lineRule="auto"/>
        <w:rPr>
          <w:color w:val="FF0000"/>
        </w:rPr>
      </w:pPr>
      <w:r w:rsidRPr="003015C7">
        <w:t>macrophages,</w:t>
      </w:r>
      <w:r>
        <w:t xml:space="preserve"> </w:t>
      </w:r>
      <w:r w:rsidRPr="003015C7">
        <w:t>puis la charge bactérienne dans ces organes di</w:t>
      </w:r>
      <w:r>
        <w:t xml:space="preserve">minue rapidement dans les </w:t>
      </w:r>
      <w:r w:rsidRPr="003015C7">
        <w:t>six heures suivant l'infection</w:t>
      </w:r>
      <w:r w:rsidRPr="002A2E0E">
        <w:t>.</w:t>
      </w:r>
    </w:p>
    <w:p w:rsidR="00723E07" w:rsidRDefault="00723E07" w:rsidP="00723E07">
      <w:pPr>
        <w:autoSpaceDE w:val="0"/>
        <w:autoSpaceDN w:val="0"/>
        <w:adjustRightInd w:val="0"/>
        <w:spacing w:before="120" w:after="120" w:line="360" w:lineRule="auto"/>
        <w:ind w:firstLine="348"/>
        <w:jc w:val="both"/>
      </w:pPr>
      <w:r w:rsidRPr="003015C7">
        <w:t xml:space="preserve">Par contre, les </w:t>
      </w:r>
      <w:r w:rsidRPr="00CC4071">
        <w:rPr>
          <w:i/>
          <w:iCs/>
        </w:rPr>
        <w:t xml:space="preserve">L. monocytogenes  </w:t>
      </w:r>
      <w:r w:rsidRPr="003015C7">
        <w:t>survivantes débutent leur cycle de reproduction intracellulaire principalement à l'intérieur des hépatocytes</w:t>
      </w:r>
      <w:r w:rsidRPr="002D08C4">
        <w:t>.</w:t>
      </w:r>
      <w:r w:rsidRPr="003015C7">
        <w:t xml:space="preserve"> Dans ces cellules, </w:t>
      </w:r>
      <w:r>
        <w:t xml:space="preserve">               </w:t>
      </w:r>
      <w:r w:rsidRPr="00CC4071">
        <w:rPr>
          <w:i/>
          <w:iCs/>
        </w:rPr>
        <w:t xml:space="preserve">L. </w:t>
      </w:r>
      <w:r>
        <w:rPr>
          <w:i/>
          <w:iCs/>
        </w:rPr>
        <w:t xml:space="preserve"> </w:t>
      </w:r>
      <w:r w:rsidRPr="00CC4071">
        <w:rPr>
          <w:i/>
          <w:iCs/>
        </w:rPr>
        <w:t>monocytogenes</w:t>
      </w:r>
      <w:r>
        <w:rPr>
          <w:i/>
          <w:iCs/>
        </w:rPr>
        <w:t xml:space="preserve"> </w:t>
      </w:r>
      <w:r w:rsidRPr="00CC4071">
        <w:rPr>
          <w:i/>
          <w:iCs/>
        </w:rPr>
        <w:t xml:space="preserve"> </w:t>
      </w:r>
      <w:r>
        <w:rPr>
          <w:i/>
          <w:iCs/>
        </w:rPr>
        <w:t xml:space="preserve"> </w:t>
      </w:r>
      <w:r w:rsidRPr="00CC4071">
        <w:rPr>
          <w:i/>
          <w:iCs/>
        </w:rPr>
        <w:t xml:space="preserve"> </w:t>
      </w:r>
      <w:r w:rsidRPr="003015C7">
        <w:t>effectue</w:t>
      </w:r>
      <w:r>
        <w:t xml:space="preserve"> </w:t>
      </w:r>
      <w:r w:rsidRPr="003015C7">
        <w:t xml:space="preserve"> </w:t>
      </w:r>
      <w:r>
        <w:t xml:space="preserve">  </w:t>
      </w:r>
      <w:r w:rsidRPr="003015C7">
        <w:t xml:space="preserve">son </w:t>
      </w:r>
      <w:r>
        <w:t xml:space="preserve"> </w:t>
      </w:r>
      <w:r w:rsidRPr="003015C7">
        <w:t>cycle</w:t>
      </w:r>
      <w:r>
        <w:t xml:space="preserve"> </w:t>
      </w:r>
      <w:r w:rsidRPr="003015C7">
        <w:t xml:space="preserve"> </w:t>
      </w:r>
      <w:r>
        <w:t xml:space="preserve"> </w:t>
      </w:r>
      <w:r w:rsidRPr="003015C7">
        <w:t xml:space="preserve">complet </w:t>
      </w:r>
      <w:r>
        <w:t xml:space="preserve"> </w:t>
      </w:r>
      <w:r w:rsidRPr="003015C7">
        <w:t xml:space="preserve">de </w:t>
      </w:r>
      <w:r>
        <w:t xml:space="preserve">  </w:t>
      </w:r>
      <w:r w:rsidRPr="003015C7">
        <w:t xml:space="preserve">reproduction </w:t>
      </w:r>
      <w:r>
        <w:t xml:space="preserve">  </w:t>
      </w:r>
      <w:r w:rsidRPr="003015C7">
        <w:t>intracellulaire</w:t>
      </w:r>
    </w:p>
    <w:p w:rsidR="00723E07" w:rsidRDefault="00723E07" w:rsidP="00723E07">
      <w:pPr>
        <w:autoSpaceDE w:val="0"/>
        <w:autoSpaceDN w:val="0"/>
        <w:adjustRightInd w:val="0"/>
        <w:spacing w:before="120" w:after="120" w:line="360" w:lineRule="auto"/>
        <w:ind w:firstLine="348"/>
        <w:jc w:val="both"/>
      </w:pPr>
    </w:p>
    <w:p w:rsidR="00723E07" w:rsidRDefault="00723E07" w:rsidP="00723E07">
      <w:pPr>
        <w:autoSpaceDE w:val="0"/>
        <w:autoSpaceDN w:val="0"/>
        <w:adjustRightInd w:val="0"/>
        <w:spacing w:before="120" w:after="120" w:line="360" w:lineRule="auto"/>
        <w:ind w:firstLine="348"/>
        <w:jc w:val="both"/>
      </w:pPr>
    </w:p>
    <w:p w:rsidR="00723E07" w:rsidRDefault="00723E07" w:rsidP="00723E07">
      <w:pPr>
        <w:autoSpaceDE w:val="0"/>
        <w:autoSpaceDN w:val="0"/>
        <w:adjustRightInd w:val="0"/>
        <w:spacing w:before="120" w:after="120" w:line="360" w:lineRule="auto"/>
        <w:ind w:firstLine="348"/>
        <w:jc w:val="both"/>
      </w:pPr>
    </w:p>
    <w:p w:rsidR="00723E07" w:rsidRPr="003600D0" w:rsidRDefault="00723E07" w:rsidP="00723E07">
      <w:pPr>
        <w:autoSpaceDE w:val="0"/>
        <w:autoSpaceDN w:val="0"/>
        <w:adjustRightInd w:val="0"/>
        <w:spacing w:before="120" w:after="120" w:line="360" w:lineRule="auto"/>
        <w:ind w:firstLine="348"/>
        <w:jc w:val="both"/>
        <w:rPr>
          <w:color w:val="FF0000"/>
        </w:rPr>
      </w:pPr>
    </w:p>
    <w:p w:rsidR="00723E07" w:rsidRDefault="00723E07" w:rsidP="00723E07">
      <w:pPr>
        <w:spacing w:before="120" w:after="120"/>
        <w:jc w:val="center"/>
        <w:rPr>
          <w:b/>
          <w:bCs/>
          <w:u w:val="single"/>
        </w:rPr>
      </w:pPr>
    </w:p>
    <w:p w:rsidR="00723E07" w:rsidRDefault="00723E07" w:rsidP="00723E07">
      <w:pPr>
        <w:spacing w:before="120" w:after="120"/>
        <w:jc w:val="center"/>
      </w:pPr>
      <w:r w:rsidRPr="003015C7">
        <w:rPr>
          <w:b/>
          <w:bCs/>
          <w:u w:val="single"/>
        </w:rPr>
        <w:t xml:space="preserve">Tableau </w:t>
      </w:r>
      <w:r>
        <w:rPr>
          <w:b/>
          <w:bCs/>
          <w:u w:val="single"/>
        </w:rPr>
        <w:t>4</w:t>
      </w:r>
      <w:r>
        <w:rPr>
          <w:b/>
          <w:bCs/>
        </w:rPr>
        <w:t> :</w:t>
      </w:r>
      <w:r w:rsidRPr="003015C7">
        <w:rPr>
          <w:b/>
          <w:bCs/>
        </w:rPr>
        <w:t xml:space="preserve"> </w:t>
      </w:r>
      <w:r w:rsidRPr="003015C7">
        <w:t xml:space="preserve">Signes cliniques décrits pour des infections à </w:t>
      </w:r>
      <w:r w:rsidRPr="00CC4071">
        <w:rPr>
          <w:i/>
          <w:iCs/>
        </w:rPr>
        <w:t xml:space="preserve">L. monocytogenes  </w:t>
      </w:r>
      <w:r>
        <w:t>chez</w:t>
      </w:r>
    </w:p>
    <w:p w:rsidR="00723E07" w:rsidRDefault="00723E07" w:rsidP="00723E07">
      <w:pPr>
        <w:spacing w:before="120" w:after="120"/>
        <w:ind w:left="1418" w:hanging="1418"/>
      </w:pPr>
      <w:r>
        <w:t xml:space="preserve">                       </w:t>
      </w:r>
      <w:r w:rsidRPr="003015C7">
        <w:t>l'adulte.</w:t>
      </w:r>
    </w:p>
    <w:p w:rsidR="00723E07" w:rsidRDefault="00723E07" w:rsidP="00723E07">
      <w:pPr>
        <w:spacing w:before="120" w:after="120"/>
        <w:jc w:val="center"/>
      </w:pPr>
    </w:p>
    <w:p w:rsidR="00723E07" w:rsidRPr="00164686" w:rsidRDefault="00723E07" w:rsidP="00723E07">
      <w:pPr>
        <w:spacing w:before="120" w:after="120"/>
        <w:jc w:val="center"/>
      </w:pPr>
    </w:p>
    <w:p w:rsidR="00723E07" w:rsidRDefault="00723E07" w:rsidP="00723E07">
      <w:pPr>
        <w:autoSpaceDE w:val="0"/>
        <w:autoSpaceDN w:val="0"/>
        <w:adjustRightInd w:val="0"/>
        <w:spacing w:before="120" w:after="120" w:line="360" w:lineRule="auto"/>
        <w:jc w:val="center"/>
        <w:rPr>
          <w:b/>
          <w:bCs/>
        </w:rPr>
      </w:pPr>
      <w:r w:rsidRPr="00164686">
        <w:rPr>
          <w:b/>
          <w:bCs/>
          <w:noProof/>
        </w:rPr>
        <w:drawing>
          <wp:inline distT="0" distB="0" distL="0" distR="0">
            <wp:extent cx="3295650" cy="6083300"/>
            <wp:effectExtent l="19050" t="0" r="0" b="0"/>
            <wp:docPr id="1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3291574" cy="6075777"/>
                    </a:xfrm>
                    <a:prstGeom prst="rect">
                      <a:avLst/>
                    </a:prstGeom>
                    <a:noFill/>
                    <a:ln w="9525">
                      <a:noFill/>
                      <a:miter lim="800000"/>
                      <a:headEnd/>
                      <a:tailEnd/>
                    </a:ln>
                  </pic:spPr>
                </pic:pic>
              </a:graphicData>
            </a:graphic>
          </wp:inline>
        </w:drawing>
      </w:r>
    </w:p>
    <w:p w:rsidR="00723E07" w:rsidRDefault="00723E07" w:rsidP="00723E07">
      <w:pPr>
        <w:autoSpaceDE w:val="0"/>
        <w:autoSpaceDN w:val="0"/>
        <w:adjustRightInd w:val="0"/>
        <w:spacing w:before="120" w:after="120" w:line="360" w:lineRule="auto"/>
        <w:jc w:val="both"/>
        <w:rPr>
          <w:b/>
          <w:bCs/>
        </w:rPr>
      </w:pPr>
    </w:p>
    <w:p w:rsidR="00723E07" w:rsidRDefault="00723E07" w:rsidP="00723E07">
      <w:pPr>
        <w:autoSpaceDE w:val="0"/>
        <w:autoSpaceDN w:val="0"/>
        <w:adjustRightInd w:val="0"/>
        <w:spacing w:before="120" w:after="120" w:line="360" w:lineRule="auto"/>
        <w:jc w:val="both"/>
        <w:rPr>
          <w:b/>
          <w:bCs/>
        </w:rPr>
      </w:pPr>
    </w:p>
    <w:p w:rsidR="00723E07" w:rsidRPr="003015C7" w:rsidRDefault="00723E07" w:rsidP="00723E07">
      <w:pPr>
        <w:autoSpaceDE w:val="0"/>
        <w:autoSpaceDN w:val="0"/>
        <w:adjustRightInd w:val="0"/>
        <w:spacing w:before="120" w:after="120"/>
        <w:ind w:left="1134" w:hanging="1134"/>
      </w:pPr>
    </w:p>
    <w:p w:rsidR="00723E07" w:rsidRPr="003015C7" w:rsidRDefault="00723E07" w:rsidP="00723E07">
      <w:pPr>
        <w:pStyle w:val="Titre3"/>
        <w:spacing w:before="0" w:line="360" w:lineRule="auto"/>
        <w:jc w:val="both"/>
        <w:rPr>
          <w:rFonts w:ascii="Times New Roman" w:hAnsi="Times New Roman" w:cs="Times New Roman"/>
          <w:b w:val="0"/>
          <w:bCs w:val="0"/>
        </w:rPr>
      </w:pPr>
    </w:p>
    <w:p w:rsidR="00723E07" w:rsidRPr="003015C7" w:rsidRDefault="00723E07" w:rsidP="00723E07">
      <w:pPr>
        <w:pStyle w:val="Titre3"/>
        <w:spacing w:before="120" w:after="120" w:line="360" w:lineRule="auto"/>
        <w:jc w:val="both"/>
        <w:rPr>
          <w:rFonts w:ascii="Times New Roman" w:hAnsi="Times New Roman" w:cs="Times New Roman"/>
        </w:rPr>
      </w:pPr>
      <w:r>
        <w:rPr>
          <w:rFonts w:ascii="Times New Roman" w:hAnsi="Times New Roman" w:cs="Times New Roman"/>
          <w:noProof/>
        </w:rPr>
        <w:drawing>
          <wp:inline distT="0" distB="0" distL="0" distR="0">
            <wp:extent cx="5753100" cy="3514725"/>
            <wp:effectExtent l="19050" t="0" r="0" b="0"/>
            <wp:docPr id="1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srcRect/>
                    <a:stretch>
                      <a:fillRect/>
                    </a:stretch>
                  </pic:blipFill>
                  <pic:spPr bwMode="auto">
                    <a:xfrm>
                      <a:off x="0" y="0"/>
                      <a:ext cx="5753100" cy="3514725"/>
                    </a:xfrm>
                    <a:prstGeom prst="rect">
                      <a:avLst/>
                    </a:prstGeom>
                    <a:noFill/>
                    <a:ln w="9525">
                      <a:noFill/>
                      <a:miter lim="800000"/>
                      <a:headEnd/>
                      <a:tailEnd/>
                    </a:ln>
                  </pic:spPr>
                </pic:pic>
              </a:graphicData>
            </a:graphic>
          </wp:inline>
        </w:drawing>
      </w:r>
    </w:p>
    <w:p w:rsidR="00723E07" w:rsidRDefault="00723E07" w:rsidP="00723E07">
      <w:pPr>
        <w:autoSpaceDE w:val="0"/>
        <w:autoSpaceDN w:val="0"/>
        <w:adjustRightInd w:val="0"/>
        <w:spacing w:before="120" w:after="120"/>
        <w:rPr>
          <w:b/>
          <w:bCs/>
          <w:u w:val="single"/>
        </w:rPr>
      </w:pPr>
    </w:p>
    <w:p w:rsidR="00723E07" w:rsidRDefault="00723E07" w:rsidP="00723E07">
      <w:pPr>
        <w:autoSpaceDE w:val="0"/>
        <w:autoSpaceDN w:val="0"/>
        <w:adjustRightInd w:val="0"/>
        <w:spacing w:before="120" w:after="120"/>
        <w:rPr>
          <w:b/>
          <w:bCs/>
          <w:u w:val="single"/>
        </w:rPr>
      </w:pPr>
    </w:p>
    <w:p w:rsidR="00723E07" w:rsidRPr="003015C7" w:rsidRDefault="00723E07" w:rsidP="00723E07">
      <w:pPr>
        <w:autoSpaceDE w:val="0"/>
        <w:autoSpaceDN w:val="0"/>
        <w:adjustRightInd w:val="0"/>
        <w:spacing w:before="120" w:after="120"/>
        <w:rPr>
          <w:i/>
          <w:iCs/>
        </w:rPr>
      </w:pPr>
      <w:r w:rsidRPr="003015C7">
        <w:rPr>
          <w:b/>
          <w:bCs/>
          <w:u w:val="single"/>
        </w:rPr>
        <w:t xml:space="preserve">Figure </w:t>
      </w:r>
      <w:r>
        <w:rPr>
          <w:b/>
          <w:bCs/>
          <w:u w:val="single"/>
        </w:rPr>
        <w:t>4 </w:t>
      </w:r>
      <w:r w:rsidRPr="00BB1177">
        <w:rPr>
          <w:b/>
          <w:bCs/>
        </w:rPr>
        <w:t>:</w:t>
      </w:r>
      <w:r w:rsidRPr="003015C7">
        <w:t xml:space="preserve"> Représentation schématique de la pathophysiologie de </w:t>
      </w:r>
      <w:r w:rsidRPr="003015C7">
        <w:rPr>
          <w:i/>
          <w:iCs/>
        </w:rPr>
        <w:t>L. monocytogenes.</w:t>
      </w:r>
    </w:p>
    <w:p w:rsidR="00723E07" w:rsidRPr="003015C7" w:rsidRDefault="00723E07" w:rsidP="00723E07">
      <w:pPr>
        <w:autoSpaceDE w:val="0"/>
        <w:autoSpaceDN w:val="0"/>
        <w:adjustRightInd w:val="0"/>
        <w:spacing w:before="120" w:after="120"/>
        <w:ind w:left="993" w:hanging="993"/>
      </w:pPr>
      <w:r>
        <w:t xml:space="preserve">                 (</w:t>
      </w:r>
      <w:r w:rsidRPr="00BB1177">
        <w:rPr>
          <w:color w:val="0000FF"/>
        </w:rPr>
        <w:t>Vâsquez-Boland et coll., 2001</w:t>
      </w:r>
      <w:r>
        <w:rPr>
          <w:color w:val="0000FF"/>
        </w:rPr>
        <w:t>)</w:t>
      </w:r>
      <w:r w:rsidRPr="003015C7">
        <w:t>.</w:t>
      </w:r>
    </w:p>
    <w:p w:rsidR="00723E07" w:rsidRDefault="00723E07" w:rsidP="00723E07">
      <w:pPr>
        <w:autoSpaceDE w:val="0"/>
        <w:autoSpaceDN w:val="0"/>
        <w:adjustRightInd w:val="0"/>
        <w:spacing w:before="120" w:after="120" w:line="360" w:lineRule="auto"/>
        <w:jc w:val="both"/>
      </w:pPr>
    </w:p>
    <w:p w:rsidR="00723E07" w:rsidRDefault="00723E07" w:rsidP="00723E07">
      <w:pPr>
        <w:autoSpaceDE w:val="0"/>
        <w:autoSpaceDN w:val="0"/>
        <w:adjustRightInd w:val="0"/>
        <w:spacing w:before="120" w:after="120" w:line="360" w:lineRule="auto"/>
        <w:jc w:val="both"/>
      </w:pPr>
      <w:r w:rsidRPr="003015C7">
        <w:t>incluant</w:t>
      </w:r>
      <w:r>
        <w:t xml:space="preserve"> </w:t>
      </w:r>
      <w:r w:rsidRPr="003015C7">
        <w:t xml:space="preserve">son passage de cellule en cellule par son système de mobilité basé sur l'actine (voir plus bas). Ce passage direct d'hépatocytes en hépatocytes conduit à la formation de foyers d'infection à l'intérieur du foie. </w:t>
      </w:r>
    </w:p>
    <w:p w:rsidR="00723E07" w:rsidRPr="003015C7" w:rsidRDefault="00723E07" w:rsidP="00723E07">
      <w:pPr>
        <w:autoSpaceDE w:val="0"/>
        <w:autoSpaceDN w:val="0"/>
        <w:adjustRightInd w:val="0"/>
        <w:spacing w:before="120" w:after="120" w:line="360" w:lineRule="auto"/>
        <w:ind w:firstLine="708"/>
        <w:jc w:val="both"/>
        <w:rPr>
          <w:color w:val="0000FF"/>
        </w:rPr>
      </w:pPr>
      <w:r w:rsidRPr="003015C7">
        <w:t xml:space="preserve">C'est à l'intérieur de ces foyers d'infection que </w:t>
      </w:r>
      <w:r w:rsidRPr="00CC4071">
        <w:rPr>
          <w:i/>
          <w:iCs/>
        </w:rPr>
        <w:t xml:space="preserve">L. monocytogenes  </w:t>
      </w:r>
      <w:r w:rsidRPr="003015C7">
        <w:t xml:space="preserve">continue de se multiplier sans jamais entrer en contact avec les composantes humorales du système immunitaire, ce qui peut expliquer pourquoi les anticorps ne participent pas à la protection contre ce type d'infection </w:t>
      </w:r>
      <w:r w:rsidRPr="003015C7">
        <w:rPr>
          <w:color w:val="0000FF"/>
        </w:rPr>
        <w:t xml:space="preserve">(Vâsquez- Boland </w:t>
      </w:r>
      <w:r w:rsidRPr="003015C7">
        <w:rPr>
          <w:i/>
          <w:iCs/>
          <w:color w:val="0000FF"/>
        </w:rPr>
        <w:t>et al</w:t>
      </w:r>
      <w:r w:rsidRPr="003015C7">
        <w:rPr>
          <w:color w:val="0000FF"/>
        </w:rPr>
        <w:t>., 2001)</w:t>
      </w:r>
      <w:r w:rsidRPr="003015C7">
        <w:t>.</w:t>
      </w:r>
    </w:p>
    <w:p w:rsidR="00723E07" w:rsidRDefault="00723E07" w:rsidP="00723E07">
      <w:pPr>
        <w:autoSpaceDE w:val="0"/>
        <w:autoSpaceDN w:val="0"/>
        <w:adjustRightInd w:val="0"/>
        <w:spacing w:before="120" w:after="120" w:line="360" w:lineRule="auto"/>
        <w:ind w:firstLine="708"/>
        <w:jc w:val="both"/>
      </w:pPr>
      <w:r w:rsidRPr="003015C7">
        <w:t xml:space="preserve">Suite à la multiplication de </w:t>
      </w:r>
      <w:r w:rsidRPr="00CC4071">
        <w:rPr>
          <w:i/>
          <w:iCs/>
        </w:rPr>
        <w:t xml:space="preserve">L. monocytogenes  </w:t>
      </w:r>
      <w:r w:rsidRPr="003015C7">
        <w:t>dans les hépatocytes, ces derniers produisent des facteurs chimiotactiques afin d'attirer des neutrophiles. Enfin, l'apoptose des cellules hépatiques débute (</w:t>
      </w:r>
      <w:r w:rsidRPr="003015C7">
        <w:rPr>
          <w:color w:val="0000FF"/>
        </w:rPr>
        <w:t xml:space="preserve">Para </w:t>
      </w:r>
      <w:r w:rsidRPr="003015C7">
        <w:rPr>
          <w:i/>
          <w:iCs/>
          <w:color w:val="0000FF"/>
        </w:rPr>
        <w:t>et al</w:t>
      </w:r>
      <w:r w:rsidRPr="003015C7">
        <w:rPr>
          <w:color w:val="0000FF"/>
        </w:rPr>
        <w:t>., 2007)</w:t>
      </w:r>
      <w:r w:rsidRPr="003015C7">
        <w:t xml:space="preserve">. </w:t>
      </w:r>
    </w:p>
    <w:p w:rsidR="00723E07" w:rsidRDefault="00723E07" w:rsidP="00723E07">
      <w:pPr>
        <w:autoSpaceDE w:val="0"/>
        <w:autoSpaceDN w:val="0"/>
        <w:adjustRightInd w:val="0"/>
        <w:spacing w:before="120" w:after="120" w:line="360" w:lineRule="auto"/>
        <w:ind w:firstLine="708"/>
        <w:jc w:val="both"/>
      </w:pPr>
      <w:r w:rsidRPr="003015C7">
        <w:lastRenderedPageBreak/>
        <w:t xml:space="preserve">Normalement, </w:t>
      </w:r>
      <w:r w:rsidRPr="00CC4071">
        <w:rPr>
          <w:i/>
          <w:iCs/>
        </w:rPr>
        <w:t xml:space="preserve">L. monocytogenes  </w:t>
      </w:r>
      <w:r w:rsidRPr="003015C7">
        <w:t>est éliminé complètement du foie, principalement par les macrophages, dans les cinq à sept jours suivant l'infection</w:t>
      </w:r>
      <w:r w:rsidRPr="003015C7">
        <w:rPr>
          <w:color w:val="FF0000"/>
        </w:rPr>
        <w:t xml:space="preserve"> </w:t>
      </w:r>
      <w:r w:rsidRPr="003015C7">
        <w:rPr>
          <w:color w:val="0000FF"/>
        </w:rPr>
        <w:t xml:space="preserve">(Vâsquez-Boland </w:t>
      </w:r>
      <w:r w:rsidRPr="003015C7">
        <w:rPr>
          <w:i/>
          <w:iCs/>
          <w:color w:val="0000FF"/>
        </w:rPr>
        <w:t>et al</w:t>
      </w:r>
      <w:r w:rsidRPr="003015C7">
        <w:rPr>
          <w:color w:val="0000FF"/>
        </w:rPr>
        <w:t>., 2001)</w:t>
      </w:r>
      <w:r w:rsidRPr="003015C7">
        <w:t xml:space="preserve">. </w:t>
      </w:r>
    </w:p>
    <w:p w:rsidR="00723E07" w:rsidRPr="003015C7" w:rsidRDefault="00723E07" w:rsidP="00723E07">
      <w:pPr>
        <w:autoSpaceDE w:val="0"/>
        <w:autoSpaceDN w:val="0"/>
        <w:adjustRightInd w:val="0"/>
        <w:spacing w:before="120" w:after="120" w:line="360" w:lineRule="auto"/>
        <w:ind w:firstLine="708"/>
        <w:jc w:val="both"/>
        <w:rPr>
          <w:color w:val="FF0000"/>
        </w:rPr>
      </w:pPr>
      <w:r w:rsidRPr="003015C7">
        <w:t xml:space="preserve">Par contre, si la prolifération de </w:t>
      </w:r>
      <w:r w:rsidRPr="00CC4071">
        <w:rPr>
          <w:i/>
          <w:iCs/>
        </w:rPr>
        <w:t xml:space="preserve">L. monocytogenes  </w:t>
      </w:r>
      <w:r w:rsidRPr="003015C7">
        <w:t xml:space="preserve">n'est pas contrôlée, chez un individu immunodéprimé par exemple, elle peut mener à une libération de bactéries dans la circulation et provoquer une septicémie qui mènera à l'infection de plusieurs tissus avec comme principale cible le système nerveux central et l'utérus </w:t>
      </w:r>
      <w:r w:rsidRPr="003015C7">
        <w:rPr>
          <w:color w:val="0000FF"/>
        </w:rPr>
        <w:t xml:space="preserve">(Vâsquez-Boland </w:t>
      </w:r>
      <w:r w:rsidRPr="003015C7">
        <w:rPr>
          <w:i/>
          <w:iCs/>
          <w:color w:val="0000FF"/>
        </w:rPr>
        <w:t>et al</w:t>
      </w:r>
      <w:r w:rsidRPr="003015C7">
        <w:rPr>
          <w:color w:val="0000FF"/>
        </w:rPr>
        <w:t>., 2001)</w:t>
      </w:r>
      <w:r w:rsidRPr="003015C7">
        <w:t>.</w:t>
      </w:r>
    </w:p>
    <w:p w:rsidR="00723E07" w:rsidRDefault="00723E07" w:rsidP="00723E07">
      <w:pPr>
        <w:autoSpaceDE w:val="0"/>
        <w:autoSpaceDN w:val="0"/>
        <w:adjustRightInd w:val="0"/>
        <w:spacing w:before="120" w:after="120" w:line="360" w:lineRule="auto"/>
        <w:jc w:val="both"/>
      </w:pPr>
      <w:r w:rsidRPr="003F0835">
        <w:rPr>
          <w:b/>
          <w:bCs/>
        </w:rPr>
        <w:t>3)</w:t>
      </w:r>
      <w:r w:rsidRPr="003015C7">
        <w:t xml:space="preserve"> Colonisation de l'utérus et du fœtus : Une des conséquences d'une infection à </w:t>
      </w:r>
      <w:r>
        <w:t xml:space="preserve">          </w:t>
      </w:r>
      <w:r w:rsidRPr="00CC4071">
        <w:rPr>
          <w:i/>
          <w:iCs/>
        </w:rPr>
        <w:t xml:space="preserve">L. monocytogenes  </w:t>
      </w:r>
      <w:r w:rsidRPr="003015C7">
        <w:t xml:space="preserve">chez la femme enceinte est la colonisation de l'utérus et du fœtus, menant ultimement à la mort du fœtus. </w:t>
      </w:r>
    </w:p>
    <w:p w:rsidR="00723E07" w:rsidRPr="003015C7" w:rsidRDefault="00723E07" w:rsidP="00723E07">
      <w:pPr>
        <w:autoSpaceDE w:val="0"/>
        <w:autoSpaceDN w:val="0"/>
        <w:adjustRightInd w:val="0"/>
        <w:spacing w:before="120" w:after="120" w:line="360" w:lineRule="auto"/>
        <w:ind w:firstLine="708"/>
        <w:jc w:val="both"/>
        <w:rPr>
          <w:color w:val="FF0000"/>
        </w:rPr>
      </w:pPr>
      <w:r w:rsidRPr="003015C7">
        <w:t xml:space="preserve">Les bactéries atteignent la circulation sanguine du fœtus par le passage à travers la paroi de l'utérus, menant à une infection généralisée et à la mort du fœtus </w:t>
      </w:r>
      <w:r w:rsidRPr="003015C7">
        <w:rPr>
          <w:i/>
          <w:iCs/>
        </w:rPr>
        <w:t xml:space="preserve">in utero </w:t>
      </w:r>
      <w:r w:rsidRPr="003015C7">
        <w:rPr>
          <w:color w:val="0000FF"/>
        </w:rPr>
        <w:t xml:space="preserve">(Vâsquez-Boland </w:t>
      </w:r>
      <w:r w:rsidRPr="003015C7">
        <w:rPr>
          <w:i/>
          <w:iCs/>
          <w:color w:val="0000FF"/>
        </w:rPr>
        <w:t>et al</w:t>
      </w:r>
      <w:r w:rsidRPr="003015C7">
        <w:rPr>
          <w:color w:val="0000FF"/>
        </w:rPr>
        <w:t>., 2001)</w:t>
      </w:r>
      <w:r w:rsidRPr="003015C7">
        <w:t>.</w:t>
      </w:r>
    </w:p>
    <w:p w:rsidR="00723E07" w:rsidRPr="003015C7" w:rsidRDefault="00723E07" w:rsidP="00723E07">
      <w:pPr>
        <w:autoSpaceDE w:val="0"/>
        <w:autoSpaceDN w:val="0"/>
        <w:adjustRightInd w:val="0"/>
        <w:spacing w:before="120" w:after="120" w:line="360" w:lineRule="auto"/>
        <w:jc w:val="both"/>
      </w:pPr>
      <w:r w:rsidRPr="003F0835">
        <w:rPr>
          <w:b/>
          <w:bCs/>
        </w:rPr>
        <w:t>4)</w:t>
      </w:r>
      <w:r w:rsidRPr="003015C7">
        <w:t xml:space="preserve"> Invasion du système nerveux central (SNC) : Chez l'adulte, l'infection à </w:t>
      </w:r>
      <w:r>
        <w:t xml:space="preserve">                   </w:t>
      </w:r>
      <w:r w:rsidRPr="00CC4071">
        <w:rPr>
          <w:i/>
          <w:iCs/>
        </w:rPr>
        <w:t xml:space="preserve">L. monocytogenes  </w:t>
      </w:r>
      <w:r w:rsidRPr="003015C7">
        <w:t xml:space="preserve">se présente couramment par une invasion du SNC. Cette infection cause le plus souvent des méningites mais peut aussi affecter d'autres tissus du SNC. La grande quantité de représentations cliniques différentes observées chez l'adulte </w:t>
      </w:r>
      <w:r w:rsidRPr="00D1174A">
        <w:rPr>
          <w:color w:val="0000FF"/>
        </w:rPr>
        <w:t>(tableau 2)</w:t>
      </w:r>
      <w:r w:rsidRPr="003015C7">
        <w:t xml:space="preserve"> montre bien la capacité de </w:t>
      </w:r>
      <w:r w:rsidRPr="00CC4071">
        <w:rPr>
          <w:i/>
          <w:iCs/>
        </w:rPr>
        <w:t xml:space="preserve">L. monocytogenes  </w:t>
      </w:r>
      <w:r w:rsidRPr="003015C7">
        <w:t>à se développer dans différentes section du SNC.</w:t>
      </w:r>
    </w:p>
    <w:p w:rsidR="00723E07" w:rsidRDefault="00723E07" w:rsidP="00723E07">
      <w:pPr>
        <w:autoSpaceDE w:val="0"/>
        <w:autoSpaceDN w:val="0"/>
        <w:adjustRightInd w:val="0"/>
        <w:spacing w:before="120" w:after="120" w:line="360" w:lineRule="auto"/>
        <w:ind w:firstLine="708"/>
        <w:jc w:val="both"/>
      </w:pPr>
      <w:r w:rsidRPr="003015C7">
        <w:t xml:space="preserve">À la base des informations connues aujourd'hui sur la pathogenèse de </w:t>
      </w:r>
      <w:r w:rsidRPr="00B70668">
        <w:rPr>
          <w:i/>
          <w:iCs/>
        </w:rPr>
        <w:t xml:space="preserve">Listeria </w:t>
      </w:r>
      <w:r w:rsidRPr="003015C7">
        <w:rPr>
          <w:i/>
          <w:iCs/>
        </w:rPr>
        <w:t xml:space="preserve"> monocytogenes, </w:t>
      </w:r>
      <w:r w:rsidRPr="003015C7">
        <w:t xml:space="preserve">les scénarios possibles suite à l'ingestion d'aliments contaminés dépendent principalement de trois facteurs : </w:t>
      </w:r>
    </w:p>
    <w:p w:rsidR="00723E07" w:rsidRDefault="00723E07" w:rsidP="00723E07">
      <w:pPr>
        <w:autoSpaceDE w:val="0"/>
        <w:autoSpaceDN w:val="0"/>
        <w:adjustRightInd w:val="0"/>
        <w:spacing w:before="120" w:after="120" w:line="360" w:lineRule="auto"/>
        <w:ind w:firstLine="708"/>
        <w:jc w:val="both"/>
      </w:pPr>
      <w:r w:rsidRPr="009861B4">
        <w:rPr>
          <w:b/>
          <w:bCs/>
        </w:rPr>
        <w:t>1)</w:t>
      </w:r>
      <w:r w:rsidRPr="003015C7">
        <w:t xml:space="preserve"> </w:t>
      </w:r>
      <w:r>
        <w:t>L</w:t>
      </w:r>
      <w:r w:rsidRPr="003015C7">
        <w:t>a charge bactérienne de l'aliment contaminé ingéré</w:t>
      </w:r>
      <w:r>
        <w:t>.</w:t>
      </w:r>
      <w:r w:rsidRPr="003015C7">
        <w:t xml:space="preserve"> </w:t>
      </w:r>
    </w:p>
    <w:p w:rsidR="00723E07" w:rsidRDefault="00723E07" w:rsidP="00723E07">
      <w:pPr>
        <w:autoSpaceDE w:val="0"/>
        <w:autoSpaceDN w:val="0"/>
        <w:adjustRightInd w:val="0"/>
        <w:spacing w:before="120" w:after="120" w:line="360" w:lineRule="auto"/>
        <w:ind w:firstLine="708"/>
        <w:jc w:val="both"/>
      </w:pPr>
      <w:r w:rsidRPr="009861B4">
        <w:rPr>
          <w:b/>
          <w:bCs/>
        </w:rPr>
        <w:t>2)</w:t>
      </w:r>
      <w:r w:rsidRPr="003015C7">
        <w:t xml:space="preserve"> </w:t>
      </w:r>
      <w:r>
        <w:t>L</w:t>
      </w:r>
      <w:r w:rsidRPr="003015C7">
        <w:t>a virulence de la souche ingérée</w:t>
      </w:r>
      <w:r>
        <w:t>.</w:t>
      </w:r>
    </w:p>
    <w:p w:rsidR="00723E07" w:rsidRDefault="00723E07" w:rsidP="00723E07">
      <w:pPr>
        <w:autoSpaceDE w:val="0"/>
        <w:autoSpaceDN w:val="0"/>
        <w:adjustRightInd w:val="0"/>
        <w:spacing w:before="120" w:after="120" w:line="360" w:lineRule="auto"/>
        <w:ind w:firstLine="708"/>
        <w:jc w:val="both"/>
      </w:pPr>
      <w:r w:rsidRPr="009861B4">
        <w:rPr>
          <w:b/>
          <w:bCs/>
        </w:rPr>
        <w:t>3)</w:t>
      </w:r>
      <w:r w:rsidRPr="003015C7">
        <w:t xml:space="preserve"> </w:t>
      </w:r>
      <w:r>
        <w:t>L</w:t>
      </w:r>
      <w:r w:rsidRPr="003015C7">
        <w:t xml:space="preserve">a condition immunologique de l'hôte. </w:t>
      </w:r>
    </w:p>
    <w:p w:rsidR="00723E07" w:rsidRDefault="00723E07" w:rsidP="00723E07">
      <w:pPr>
        <w:autoSpaceDE w:val="0"/>
        <w:autoSpaceDN w:val="0"/>
        <w:adjustRightInd w:val="0"/>
        <w:spacing w:before="120" w:after="120" w:line="360" w:lineRule="auto"/>
        <w:ind w:firstLine="708"/>
        <w:jc w:val="both"/>
      </w:pPr>
      <w:r w:rsidRPr="003015C7">
        <w:t xml:space="preserve">Ces trois facteurs font qu'une personne avec un système immunitaire normal qui ingère une petite quantité de </w:t>
      </w:r>
      <w:r w:rsidRPr="00CC4071">
        <w:rPr>
          <w:i/>
          <w:iCs/>
        </w:rPr>
        <w:t xml:space="preserve">L. monocytogenes  </w:t>
      </w:r>
      <w:r w:rsidRPr="003015C7">
        <w:t xml:space="preserve">ne développera probablement pas d'infection. </w:t>
      </w:r>
    </w:p>
    <w:p w:rsidR="00723E07" w:rsidRPr="003015C7" w:rsidRDefault="00723E07" w:rsidP="00723E07">
      <w:pPr>
        <w:autoSpaceDE w:val="0"/>
        <w:autoSpaceDN w:val="0"/>
        <w:adjustRightInd w:val="0"/>
        <w:spacing w:before="120" w:after="120" w:line="360" w:lineRule="auto"/>
        <w:ind w:firstLine="708"/>
        <w:jc w:val="both"/>
      </w:pPr>
      <w:r w:rsidRPr="003015C7">
        <w:t xml:space="preserve">Par contre, si ce même individu ingère un aliment fortement contaminé, il est fort probable qu'il développe une gastro-entérite et de la fièvre. Par contre, un individu </w:t>
      </w:r>
      <w:r w:rsidRPr="003015C7">
        <w:lastRenderedPageBreak/>
        <w:t>immunodéprimé ne possédera pas les outils immunologiques nécessaires pour limiter la croissance de la bactérie dans le foie ce qui mènera au développement d'infections disséminées beaucoup plus sévères.</w:t>
      </w:r>
    </w:p>
    <w:p w:rsidR="00723E07" w:rsidRPr="003015C7" w:rsidRDefault="00723E07" w:rsidP="00723E07">
      <w:pPr>
        <w:autoSpaceDE w:val="0"/>
        <w:autoSpaceDN w:val="0"/>
        <w:adjustRightInd w:val="0"/>
        <w:spacing w:before="120" w:after="120" w:line="360" w:lineRule="auto"/>
        <w:ind w:firstLine="708"/>
        <w:jc w:val="both"/>
        <w:rPr>
          <w:i/>
          <w:iCs/>
          <w:color w:val="FF0000"/>
        </w:rPr>
      </w:pPr>
      <w:r w:rsidRPr="008A703E">
        <w:rPr>
          <w:b/>
          <w:bCs/>
        </w:rPr>
        <w:t>II.2.</w:t>
      </w:r>
      <w:r>
        <w:rPr>
          <w:b/>
          <w:bCs/>
        </w:rPr>
        <w:t xml:space="preserve">7. </w:t>
      </w:r>
      <w:r w:rsidRPr="00F4667B">
        <w:rPr>
          <w:b/>
          <w:bCs/>
        </w:rPr>
        <w:t xml:space="preserve">Cycle intracellulaire de </w:t>
      </w:r>
      <w:r w:rsidRPr="00F4667B">
        <w:rPr>
          <w:b/>
          <w:bCs/>
          <w:i/>
          <w:iCs/>
        </w:rPr>
        <w:t>L. monocytogenes</w:t>
      </w:r>
    </w:p>
    <w:p w:rsidR="00723E07" w:rsidRPr="003015C7" w:rsidRDefault="00723E07" w:rsidP="00723E07">
      <w:pPr>
        <w:autoSpaceDE w:val="0"/>
        <w:autoSpaceDN w:val="0"/>
        <w:adjustRightInd w:val="0"/>
        <w:spacing w:before="120" w:after="120" w:line="360" w:lineRule="auto"/>
        <w:ind w:firstLine="708"/>
        <w:jc w:val="both"/>
      </w:pPr>
      <w:r w:rsidRPr="003015C7">
        <w:t xml:space="preserve">La pathogenèse de </w:t>
      </w:r>
      <w:r w:rsidRPr="00CC4071">
        <w:rPr>
          <w:i/>
          <w:iCs/>
        </w:rPr>
        <w:t xml:space="preserve">L. monocytogenes  </w:t>
      </w:r>
      <w:r w:rsidRPr="003015C7">
        <w:t xml:space="preserve">se caractérise par plusieurs étapes présentées plus haut. Cependant, tout au long de ces étapes, les cellules bactériennes se reproduisent dans </w:t>
      </w:r>
      <w:r>
        <w:t>l</w:t>
      </w:r>
      <w:r w:rsidRPr="003015C7">
        <w:t xml:space="preserve">'organisme. </w:t>
      </w:r>
      <w:r w:rsidRPr="00CC4071">
        <w:rPr>
          <w:i/>
          <w:iCs/>
        </w:rPr>
        <w:t xml:space="preserve">L. monocytogenes </w:t>
      </w:r>
      <w:r w:rsidRPr="003015C7">
        <w:t>est un parasite intracellulaire facultatif qui possède la capacité de se développer autant à l'extérieur qu'à l'intérieur des cellules eucaryotes.</w:t>
      </w:r>
    </w:p>
    <w:p w:rsidR="00723E07" w:rsidRPr="003015C7" w:rsidRDefault="00723E07" w:rsidP="00723E07">
      <w:pPr>
        <w:autoSpaceDE w:val="0"/>
        <w:autoSpaceDN w:val="0"/>
        <w:adjustRightInd w:val="0"/>
        <w:spacing w:before="120" w:after="120" w:line="360" w:lineRule="auto"/>
        <w:ind w:firstLine="708"/>
        <w:jc w:val="both"/>
      </w:pPr>
      <w:r w:rsidRPr="003015C7">
        <w:t xml:space="preserve">Toutefois, son cycle de reproduction intracellulaire représente son principal moyen de reproduction lors d'infection chez l'homme et chez l'animal. La schématisation de ce cycle de reproduction se passe en plusieurs étapes et est présentée à la </w:t>
      </w:r>
      <w:r w:rsidRPr="00E473FB">
        <w:rPr>
          <w:color w:val="0000FF"/>
        </w:rPr>
        <w:t>figure</w:t>
      </w:r>
      <w:r w:rsidRPr="003015C7">
        <w:t xml:space="preserve"> </w:t>
      </w:r>
      <w:r>
        <w:rPr>
          <w:color w:val="0000FF"/>
        </w:rPr>
        <w:t>5</w:t>
      </w:r>
      <w:r>
        <w:t>.</w:t>
      </w:r>
    </w:p>
    <w:p w:rsidR="00723E07" w:rsidRDefault="00723E07" w:rsidP="00723E07">
      <w:pPr>
        <w:autoSpaceDE w:val="0"/>
        <w:autoSpaceDN w:val="0"/>
        <w:adjustRightInd w:val="0"/>
        <w:spacing w:before="120" w:after="120" w:line="360" w:lineRule="auto"/>
        <w:ind w:firstLine="708"/>
        <w:jc w:val="both"/>
      </w:pPr>
      <w:r w:rsidRPr="00B70668">
        <w:rPr>
          <w:i/>
          <w:iCs/>
        </w:rPr>
        <w:t xml:space="preserve">Listeria </w:t>
      </w:r>
      <w:r w:rsidRPr="003015C7">
        <w:rPr>
          <w:i/>
          <w:iCs/>
        </w:rPr>
        <w:t xml:space="preserve"> monocytogenes </w:t>
      </w:r>
      <w:r w:rsidRPr="003015C7">
        <w:t xml:space="preserve">a la capacité de se développer dans plusieurs types de cellules, qu'elles soient phagocytaires ou non. En ce qui concerne les cellules non phagocytaires, </w:t>
      </w:r>
      <w:r w:rsidRPr="00CC4071">
        <w:rPr>
          <w:i/>
          <w:iCs/>
        </w:rPr>
        <w:t xml:space="preserve">L. monocytogenes  </w:t>
      </w:r>
      <w:r w:rsidRPr="003015C7">
        <w:t xml:space="preserve">peut provoquer son internalisation dans ces cellules. </w:t>
      </w:r>
    </w:p>
    <w:p w:rsidR="00723E07" w:rsidRDefault="00723E07" w:rsidP="00723E07">
      <w:pPr>
        <w:autoSpaceDE w:val="0"/>
        <w:autoSpaceDN w:val="0"/>
        <w:adjustRightInd w:val="0"/>
        <w:spacing w:before="120" w:after="120" w:line="360" w:lineRule="auto"/>
        <w:ind w:firstLine="708"/>
        <w:jc w:val="both"/>
      </w:pPr>
      <w:r w:rsidRPr="003015C7">
        <w:t xml:space="preserve">Les principales cellules cibles pour la reproduction de </w:t>
      </w:r>
      <w:r w:rsidRPr="00CC4071">
        <w:rPr>
          <w:i/>
          <w:iCs/>
        </w:rPr>
        <w:t xml:space="preserve">L. monocytogenes  </w:t>
      </w:r>
      <w:r w:rsidRPr="003015C7">
        <w:t xml:space="preserve">sont les macrophages, les cellules  épithéliales, les hépatocytes, les cellules endothéliales et une variété de cellules nerveuses comme les neurones </w:t>
      </w:r>
      <w:r w:rsidRPr="003015C7">
        <w:rPr>
          <w:color w:val="0000FF"/>
        </w:rPr>
        <w:t xml:space="preserve">(Vâsquez-Boland </w:t>
      </w:r>
      <w:r w:rsidRPr="003015C7">
        <w:rPr>
          <w:i/>
          <w:iCs/>
          <w:color w:val="0000FF"/>
        </w:rPr>
        <w:t>et al</w:t>
      </w:r>
      <w:r w:rsidRPr="003015C7">
        <w:rPr>
          <w:color w:val="0000FF"/>
        </w:rPr>
        <w:t>., 2001)</w:t>
      </w:r>
      <w:r w:rsidRPr="003015C7">
        <w:t>.</w:t>
      </w:r>
      <w:r w:rsidRPr="003015C7">
        <w:rPr>
          <w:color w:val="FF0000"/>
        </w:rPr>
        <w:t xml:space="preserve"> </w:t>
      </w:r>
      <w:r w:rsidRPr="003015C7">
        <w:t xml:space="preserve">Le cycle de reproduction intracellulaire de </w:t>
      </w:r>
      <w:r w:rsidRPr="00CC4071">
        <w:rPr>
          <w:i/>
          <w:iCs/>
        </w:rPr>
        <w:t xml:space="preserve">L. monocytogenes  </w:t>
      </w:r>
      <w:r w:rsidRPr="003015C7">
        <w:t>conserve les mêmes étapes, que le pathogène pénètre des macrophages ou des cellules non phagocytaires.</w:t>
      </w:r>
    </w:p>
    <w:p w:rsidR="00723E07" w:rsidRDefault="00723E07" w:rsidP="00723E07">
      <w:pPr>
        <w:pStyle w:val="Paragraphedeliste"/>
        <w:numPr>
          <w:ilvl w:val="0"/>
          <w:numId w:val="30"/>
        </w:numPr>
        <w:autoSpaceDE w:val="0"/>
        <w:autoSpaceDN w:val="0"/>
        <w:adjustRightInd w:val="0"/>
        <w:spacing w:before="120" w:after="120" w:line="360" w:lineRule="auto"/>
        <w:jc w:val="both"/>
      </w:pPr>
      <w:r w:rsidRPr="000331DE">
        <w:rPr>
          <w:b/>
          <w:bCs/>
        </w:rPr>
        <w:t>Internalisation</w:t>
      </w:r>
      <w:r w:rsidRPr="003015C7">
        <w:t xml:space="preserve"> </w:t>
      </w:r>
    </w:p>
    <w:p w:rsidR="00723E07" w:rsidRDefault="00723E07" w:rsidP="00723E07">
      <w:pPr>
        <w:autoSpaceDE w:val="0"/>
        <w:autoSpaceDN w:val="0"/>
        <w:adjustRightInd w:val="0"/>
        <w:spacing w:before="120" w:after="120" w:line="360" w:lineRule="auto"/>
        <w:ind w:firstLine="360"/>
        <w:jc w:val="both"/>
      </w:pPr>
      <w:r w:rsidRPr="003015C7">
        <w:t xml:space="preserve">Le cycle de reproduction intracellulaire débute avec l'adhésion des </w:t>
      </w:r>
      <w:r>
        <w:t>b</w:t>
      </w:r>
      <w:r w:rsidRPr="003015C7">
        <w:t xml:space="preserve">actéries sur la surface des cellules eucaryotes suivi de la pénétration de la bactérie dans la cellule hôte. La versatilité des cibles de </w:t>
      </w:r>
      <w:r w:rsidRPr="000331DE">
        <w:rPr>
          <w:i/>
          <w:iCs/>
        </w:rPr>
        <w:t xml:space="preserve">L. monocytogenes  </w:t>
      </w:r>
      <w:r w:rsidRPr="003015C7">
        <w:t>indique qu'elle a la possibilité de reconnaître de nombreux récepteurs chez les cellules cibles.</w:t>
      </w:r>
    </w:p>
    <w:p w:rsidR="00723E07" w:rsidRDefault="00723E07" w:rsidP="00723E07">
      <w:pPr>
        <w:autoSpaceDE w:val="0"/>
        <w:autoSpaceDN w:val="0"/>
        <w:adjustRightInd w:val="0"/>
        <w:spacing w:before="120" w:after="120" w:line="360" w:lineRule="auto"/>
        <w:ind w:firstLine="348"/>
        <w:jc w:val="both"/>
      </w:pPr>
      <w:r w:rsidRPr="003015C7">
        <w:t xml:space="preserve">Parmi ces récepteurs, on retrouve les récepteurs du complément C3bi et Clq, la glycoprotéine transmembranaire E-cadherine, le récepteur Met pour le facteur de croissance des hépatocytes et des composantes de la matrice extracellulaire comme la fibronectine. </w:t>
      </w:r>
      <w:r>
        <w:t xml:space="preserve"> </w:t>
      </w:r>
    </w:p>
    <w:p w:rsidR="00723E07" w:rsidRDefault="00723E07" w:rsidP="00723E07">
      <w:pPr>
        <w:autoSpaceDE w:val="0"/>
        <w:autoSpaceDN w:val="0"/>
        <w:adjustRightInd w:val="0"/>
        <w:spacing w:line="360" w:lineRule="auto"/>
        <w:ind w:firstLine="708"/>
        <w:jc w:val="both"/>
      </w:pPr>
    </w:p>
    <w:p w:rsidR="00723E07" w:rsidRPr="003015C7" w:rsidRDefault="00723E07" w:rsidP="00723E07">
      <w:pPr>
        <w:autoSpaceDE w:val="0"/>
        <w:autoSpaceDN w:val="0"/>
        <w:adjustRightInd w:val="0"/>
        <w:spacing w:line="360" w:lineRule="auto"/>
        <w:ind w:firstLine="708"/>
        <w:jc w:val="both"/>
      </w:pPr>
    </w:p>
    <w:p w:rsidR="00723E07" w:rsidRPr="003015C7" w:rsidRDefault="00723E07" w:rsidP="00723E07">
      <w:pPr>
        <w:pStyle w:val="Titre3"/>
        <w:spacing w:before="0" w:line="360" w:lineRule="auto"/>
        <w:jc w:val="center"/>
        <w:rPr>
          <w:rFonts w:ascii="Times New Roman" w:hAnsi="Times New Roman" w:cs="Times New Roman"/>
          <w:b w:val="0"/>
          <w:bCs w:val="0"/>
        </w:rPr>
      </w:pPr>
      <w:r>
        <w:rPr>
          <w:rFonts w:ascii="Times New Roman" w:hAnsi="Times New Roman" w:cs="Times New Roman"/>
          <w:noProof/>
        </w:rPr>
        <w:lastRenderedPageBreak/>
        <w:drawing>
          <wp:inline distT="0" distB="0" distL="0" distR="0">
            <wp:extent cx="4527730" cy="3230880"/>
            <wp:effectExtent l="19050" t="0" r="6170" b="0"/>
            <wp:docPr id="1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4529926" cy="3232447"/>
                    </a:xfrm>
                    <a:prstGeom prst="rect">
                      <a:avLst/>
                    </a:prstGeom>
                    <a:noFill/>
                    <a:ln w="9525">
                      <a:noFill/>
                      <a:miter lim="800000"/>
                      <a:headEnd/>
                      <a:tailEnd/>
                    </a:ln>
                  </pic:spPr>
                </pic:pic>
              </a:graphicData>
            </a:graphic>
          </wp:inline>
        </w:drawing>
      </w:r>
    </w:p>
    <w:p w:rsidR="00723E07" w:rsidRDefault="00723E07" w:rsidP="00723E07">
      <w:pPr>
        <w:autoSpaceDE w:val="0"/>
        <w:autoSpaceDN w:val="0"/>
        <w:adjustRightInd w:val="0"/>
        <w:rPr>
          <w:b/>
          <w:bCs/>
          <w:u w:val="single"/>
        </w:rPr>
      </w:pPr>
    </w:p>
    <w:p w:rsidR="00723E07" w:rsidRDefault="00723E07" w:rsidP="00723E07">
      <w:pPr>
        <w:autoSpaceDE w:val="0"/>
        <w:autoSpaceDN w:val="0"/>
        <w:adjustRightInd w:val="0"/>
        <w:rPr>
          <w:b/>
          <w:bCs/>
          <w:u w:val="single"/>
        </w:rPr>
      </w:pPr>
    </w:p>
    <w:p w:rsidR="00723E07" w:rsidRPr="0022360F" w:rsidRDefault="00723E07" w:rsidP="00723E07">
      <w:pPr>
        <w:autoSpaceDE w:val="0"/>
        <w:autoSpaceDN w:val="0"/>
        <w:adjustRightInd w:val="0"/>
        <w:rPr>
          <w:color w:val="0000FF"/>
        </w:rPr>
      </w:pPr>
      <w:r w:rsidRPr="003015C7">
        <w:rPr>
          <w:b/>
          <w:bCs/>
          <w:u w:val="single"/>
        </w:rPr>
        <w:t xml:space="preserve">Figure </w:t>
      </w:r>
      <w:r>
        <w:rPr>
          <w:b/>
          <w:bCs/>
          <w:u w:val="single"/>
        </w:rPr>
        <w:t>5</w:t>
      </w:r>
      <w:r w:rsidRPr="0015641F">
        <w:rPr>
          <w:b/>
          <w:bCs/>
        </w:rPr>
        <w:t>:</w:t>
      </w:r>
      <w:r w:rsidRPr="003015C7">
        <w:t xml:space="preserve"> Cycle d'infection de </w:t>
      </w:r>
      <w:r w:rsidRPr="003015C7">
        <w:rPr>
          <w:i/>
          <w:iCs/>
        </w:rPr>
        <w:t xml:space="preserve">L. monocytogenes. </w:t>
      </w:r>
      <w:r w:rsidRPr="0022360F">
        <w:rPr>
          <w:color w:val="0000FF"/>
        </w:rPr>
        <w:t>Adapté de Tilney et Portnoy, 1989.</w:t>
      </w:r>
    </w:p>
    <w:p w:rsidR="00723E07" w:rsidRPr="0022360F" w:rsidRDefault="00723E07" w:rsidP="00723E07">
      <w:pPr>
        <w:autoSpaceDE w:val="0"/>
        <w:autoSpaceDN w:val="0"/>
        <w:adjustRightInd w:val="0"/>
        <w:spacing w:line="360" w:lineRule="auto"/>
        <w:ind w:firstLine="360"/>
        <w:jc w:val="both"/>
        <w:rPr>
          <w:color w:val="0000FF"/>
        </w:rPr>
      </w:pPr>
    </w:p>
    <w:p w:rsidR="00723E07" w:rsidRPr="003015C7" w:rsidRDefault="00723E07" w:rsidP="00723E07">
      <w:pPr>
        <w:autoSpaceDE w:val="0"/>
        <w:autoSpaceDN w:val="0"/>
        <w:adjustRightInd w:val="0"/>
        <w:spacing w:line="360" w:lineRule="auto"/>
        <w:ind w:firstLine="348"/>
        <w:jc w:val="both"/>
      </w:pPr>
      <w:r>
        <w:t>p</w:t>
      </w:r>
      <w:r w:rsidRPr="003015C7">
        <w:t xml:space="preserve">our adhérer à ces récepteurs, </w:t>
      </w:r>
      <w:r w:rsidRPr="000331DE">
        <w:rPr>
          <w:i/>
          <w:iCs/>
        </w:rPr>
        <w:t xml:space="preserve">L. monocytogenes  </w:t>
      </w:r>
      <w:r w:rsidRPr="003015C7">
        <w:t xml:space="preserve">utilise une gamme de ligands protéiques dont les principaux sont les internalines (InlA et InlB), la protéine ActA (protéine servant à la polymérisation de l'actine) et la protéine p60 </w:t>
      </w:r>
      <w:r w:rsidRPr="000331DE">
        <w:rPr>
          <w:color w:val="0000FF"/>
        </w:rPr>
        <w:t xml:space="preserve">(Vâsquez-Boland </w:t>
      </w:r>
      <w:r w:rsidRPr="000331DE">
        <w:rPr>
          <w:i/>
          <w:iCs/>
          <w:color w:val="0000FF"/>
        </w:rPr>
        <w:t>et al</w:t>
      </w:r>
      <w:r w:rsidRPr="000331DE">
        <w:rPr>
          <w:color w:val="0000FF"/>
        </w:rPr>
        <w:t>., 2001)</w:t>
      </w:r>
      <w:r w:rsidRPr="003015C7">
        <w:t xml:space="preserve">. </w:t>
      </w:r>
    </w:p>
    <w:p w:rsidR="00723E07" w:rsidRDefault="00723E07" w:rsidP="00723E07">
      <w:pPr>
        <w:autoSpaceDE w:val="0"/>
        <w:autoSpaceDN w:val="0"/>
        <w:adjustRightInd w:val="0"/>
        <w:spacing w:line="360" w:lineRule="auto"/>
        <w:ind w:firstLine="348"/>
        <w:jc w:val="both"/>
      </w:pPr>
      <w:r w:rsidRPr="003015C7">
        <w:t xml:space="preserve">Plusieurs autres combinaisons récepteurs-ligands ont été identifiées dans la littérature, mais avec peu de preuves de leur implication active à l'étape d'entrée de la bactérie dans la cellule eucaryote. Suite à cette interaction entre les ligands bactériens et les récepteurs cellulaires, l'invasion de la cellule se produit selon un mécanisme de type « zipper », signifiant que la bactérie s'enfonce graduellement dans une cavité formée à la surface de la cellule pour finir complètement engouffrée </w:t>
      </w:r>
      <w:r w:rsidRPr="000331DE">
        <w:rPr>
          <w:color w:val="0000FF"/>
        </w:rPr>
        <w:t xml:space="preserve">(figure </w:t>
      </w:r>
      <w:r>
        <w:rPr>
          <w:color w:val="0000FF"/>
        </w:rPr>
        <w:t>5,</w:t>
      </w:r>
      <w:r w:rsidRPr="00903836">
        <w:rPr>
          <w:color w:val="0000FF"/>
        </w:rPr>
        <w:t xml:space="preserve"> numéro </w:t>
      </w:r>
      <w:r>
        <w:rPr>
          <w:color w:val="0000FF"/>
        </w:rPr>
        <w:t>1</w:t>
      </w:r>
      <w:r w:rsidRPr="000331DE">
        <w:rPr>
          <w:color w:val="0000FF"/>
        </w:rPr>
        <w:t>)</w:t>
      </w:r>
      <w:r w:rsidRPr="003015C7">
        <w:t>.</w:t>
      </w:r>
    </w:p>
    <w:p w:rsidR="00723E07" w:rsidRPr="003015C7" w:rsidRDefault="00723E07" w:rsidP="00723E07">
      <w:pPr>
        <w:autoSpaceDE w:val="0"/>
        <w:autoSpaceDN w:val="0"/>
        <w:adjustRightInd w:val="0"/>
        <w:spacing w:line="360" w:lineRule="auto"/>
        <w:ind w:firstLine="348"/>
        <w:jc w:val="both"/>
      </w:pPr>
    </w:p>
    <w:p w:rsidR="00723E07" w:rsidRPr="00FB46AF" w:rsidRDefault="00723E07" w:rsidP="00723E07">
      <w:pPr>
        <w:pStyle w:val="Paragraphedeliste"/>
        <w:numPr>
          <w:ilvl w:val="0"/>
          <w:numId w:val="30"/>
        </w:numPr>
        <w:autoSpaceDE w:val="0"/>
        <w:autoSpaceDN w:val="0"/>
        <w:adjustRightInd w:val="0"/>
        <w:spacing w:line="360" w:lineRule="auto"/>
        <w:jc w:val="both"/>
        <w:rPr>
          <w:b/>
          <w:bCs/>
        </w:rPr>
      </w:pPr>
      <w:r w:rsidRPr="00FB46AF">
        <w:rPr>
          <w:b/>
          <w:bCs/>
        </w:rPr>
        <w:t xml:space="preserve">Évasion du phagosome </w:t>
      </w:r>
    </w:p>
    <w:p w:rsidR="00723E07" w:rsidRPr="00FB46AF" w:rsidRDefault="00723E07" w:rsidP="00723E07">
      <w:pPr>
        <w:autoSpaceDE w:val="0"/>
        <w:autoSpaceDN w:val="0"/>
        <w:adjustRightInd w:val="0"/>
        <w:spacing w:before="120" w:after="120" w:line="360" w:lineRule="auto"/>
        <w:ind w:firstLine="360"/>
        <w:jc w:val="both"/>
        <w:rPr>
          <w:color w:val="0000FF"/>
        </w:rPr>
      </w:pPr>
      <w:r w:rsidRPr="003015C7">
        <w:t xml:space="preserve">Dans les premiers stades de l'invasion, </w:t>
      </w:r>
      <w:r>
        <w:t xml:space="preserve"> </w:t>
      </w:r>
      <w:r w:rsidRPr="00FB46AF">
        <w:rPr>
          <w:i/>
          <w:iCs/>
        </w:rPr>
        <w:t xml:space="preserve">L. monocytogenes </w:t>
      </w:r>
      <w:r w:rsidRPr="003015C7">
        <w:t>devient complètement engloutie dans une vacuole phagocytaire. Ce</w:t>
      </w:r>
      <w:r>
        <w:t xml:space="preserve">rtains auteurs ont démontré que                 </w:t>
      </w:r>
      <w:r w:rsidRPr="00FB46AF">
        <w:rPr>
          <w:i/>
          <w:iCs/>
        </w:rPr>
        <w:t xml:space="preserve">L. monocytogenes  </w:t>
      </w:r>
      <w:r w:rsidRPr="003015C7">
        <w:t>provoque un retard dans la maturation du phagosome au stade de phagolysosome</w:t>
      </w:r>
      <w:r>
        <w:t>,</w:t>
      </w:r>
      <w:r w:rsidRPr="003015C7">
        <w:t xml:space="preserve"> ce qui permet la survie de la bactérie </w:t>
      </w:r>
      <w:r w:rsidRPr="00FB46AF">
        <w:rPr>
          <w:color w:val="0000FF"/>
        </w:rPr>
        <w:t xml:space="preserve">(Alvarez-Dominguez </w:t>
      </w:r>
      <w:r w:rsidRPr="00FB46AF">
        <w:rPr>
          <w:i/>
          <w:iCs/>
          <w:color w:val="0000FF"/>
        </w:rPr>
        <w:t>et al</w:t>
      </w:r>
      <w:r w:rsidRPr="00FB46AF">
        <w:rPr>
          <w:color w:val="0000FF"/>
        </w:rPr>
        <w:t>., 1997)</w:t>
      </w:r>
      <w:r w:rsidRPr="003015C7">
        <w:t>.</w:t>
      </w:r>
    </w:p>
    <w:p w:rsidR="00723E07" w:rsidRPr="003015C7" w:rsidRDefault="00723E07" w:rsidP="00723E07">
      <w:pPr>
        <w:autoSpaceDE w:val="0"/>
        <w:autoSpaceDN w:val="0"/>
        <w:adjustRightInd w:val="0"/>
        <w:spacing w:before="120" w:after="120" w:line="360" w:lineRule="auto"/>
        <w:ind w:firstLine="360"/>
        <w:jc w:val="both"/>
      </w:pPr>
      <w:r w:rsidRPr="003015C7">
        <w:lastRenderedPageBreak/>
        <w:t xml:space="preserve">La libération des bactéries dans le cytoplasme cellulaire débute aussi tôt que 30 minutes après l'entrée de la bactérie dans la cellule </w:t>
      </w:r>
      <w:r w:rsidRPr="00903836">
        <w:rPr>
          <w:color w:val="0000FF"/>
        </w:rPr>
        <w:t xml:space="preserve">(figure </w:t>
      </w:r>
      <w:r>
        <w:rPr>
          <w:color w:val="0000FF"/>
        </w:rPr>
        <w:t>5,</w:t>
      </w:r>
      <w:r w:rsidRPr="00903836">
        <w:rPr>
          <w:color w:val="0000FF"/>
        </w:rPr>
        <w:t xml:space="preserve"> numéro </w:t>
      </w:r>
      <w:r>
        <w:rPr>
          <w:color w:val="0000FF"/>
        </w:rPr>
        <w:t>2</w:t>
      </w:r>
      <w:r w:rsidRPr="00903836">
        <w:rPr>
          <w:color w:val="0000FF"/>
        </w:rPr>
        <w:t>)</w:t>
      </w:r>
      <w:r w:rsidRPr="003015C7">
        <w:t xml:space="preserve">, puis après deux heures, plus de la moitié des bactéries internalisées se retrouvent libres dans le cytoplasme cellulaire </w:t>
      </w:r>
      <w:r w:rsidRPr="003015C7">
        <w:rPr>
          <w:color w:val="0000FF"/>
        </w:rPr>
        <w:t xml:space="preserve">(Vâsquez-Boland </w:t>
      </w:r>
      <w:r w:rsidRPr="003015C7">
        <w:rPr>
          <w:i/>
          <w:iCs/>
          <w:color w:val="0000FF"/>
        </w:rPr>
        <w:t>et al</w:t>
      </w:r>
      <w:r w:rsidRPr="003015C7">
        <w:rPr>
          <w:color w:val="0000FF"/>
        </w:rPr>
        <w:t>., 2001)</w:t>
      </w:r>
      <w:r w:rsidRPr="003015C7">
        <w:t>. Cette étape de libération est essentielle à la survie de la bactérie et est médiée par l'hémolysine bactérienne en association avec des phospholipases.</w:t>
      </w:r>
    </w:p>
    <w:p w:rsidR="00723E07" w:rsidRDefault="00723E07" w:rsidP="00723E07">
      <w:pPr>
        <w:pStyle w:val="Paragraphedeliste"/>
        <w:numPr>
          <w:ilvl w:val="0"/>
          <w:numId w:val="31"/>
        </w:numPr>
        <w:tabs>
          <w:tab w:val="left" w:pos="426"/>
        </w:tabs>
        <w:autoSpaceDE w:val="0"/>
        <w:autoSpaceDN w:val="0"/>
        <w:adjustRightInd w:val="0"/>
        <w:spacing w:before="120" w:after="120" w:line="360" w:lineRule="auto"/>
        <w:jc w:val="both"/>
      </w:pPr>
      <w:r w:rsidRPr="00903836">
        <w:rPr>
          <w:b/>
          <w:bCs/>
        </w:rPr>
        <w:t xml:space="preserve">Multiplication intracellulaire </w:t>
      </w:r>
    </w:p>
    <w:p w:rsidR="00723E07" w:rsidRPr="00903836" w:rsidRDefault="00723E07" w:rsidP="00723E07">
      <w:pPr>
        <w:tabs>
          <w:tab w:val="left" w:pos="426"/>
        </w:tabs>
        <w:autoSpaceDE w:val="0"/>
        <w:autoSpaceDN w:val="0"/>
        <w:adjustRightInd w:val="0"/>
        <w:spacing w:before="120" w:after="120" w:line="360" w:lineRule="auto"/>
        <w:jc w:val="both"/>
        <w:rPr>
          <w:color w:val="FF0000"/>
        </w:rPr>
      </w:pPr>
      <w:r>
        <w:tab/>
      </w:r>
      <w:r w:rsidRPr="003015C7">
        <w:t xml:space="preserve">Une fois libre dans le cytosol, les bactéries débutent leur reproduction </w:t>
      </w:r>
      <w:r w:rsidRPr="00903836">
        <w:rPr>
          <w:color w:val="0000FF"/>
        </w:rPr>
        <w:t xml:space="preserve">(figure </w:t>
      </w:r>
      <w:r>
        <w:rPr>
          <w:color w:val="0000FF"/>
        </w:rPr>
        <w:t>5</w:t>
      </w:r>
      <w:r w:rsidRPr="00903836">
        <w:rPr>
          <w:color w:val="0000FF"/>
        </w:rPr>
        <w:t xml:space="preserve">, numéro </w:t>
      </w:r>
      <w:r>
        <w:rPr>
          <w:color w:val="0000FF"/>
        </w:rPr>
        <w:t>3</w:t>
      </w:r>
      <w:r w:rsidRPr="00903836">
        <w:rPr>
          <w:color w:val="0000FF"/>
        </w:rPr>
        <w:t>)</w:t>
      </w:r>
      <w:r w:rsidRPr="003015C7">
        <w:t xml:space="preserve">. Le contenu cytoplasmique contient tous les éléments essentiels à la multiplication de </w:t>
      </w:r>
      <w:r w:rsidRPr="00903836">
        <w:rPr>
          <w:i/>
          <w:iCs/>
        </w:rPr>
        <w:t xml:space="preserve">L. monocytogenes, </w:t>
      </w:r>
      <w:r w:rsidRPr="003015C7">
        <w:t xml:space="preserve">qui se développe avec un temps de génération d'environ une heure, soit seulement trois minutes de plus que dans un milieu de croissance synthétique riche </w:t>
      </w:r>
      <w:r w:rsidRPr="00903836">
        <w:rPr>
          <w:color w:val="0000FF"/>
        </w:rPr>
        <w:t xml:space="preserve">(Vâsquez-Boland </w:t>
      </w:r>
      <w:r w:rsidRPr="00903836">
        <w:rPr>
          <w:i/>
          <w:iCs/>
          <w:color w:val="0000FF"/>
        </w:rPr>
        <w:t>et al</w:t>
      </w:r>
      <w:r w:rsidRPr="00903836">
        <w:rPr>
          <w:color w:val="0000FF"/>
        </w:rPr>
        <w:t>., 2001)</w:t>
      </w:r>
      <w:r w:rsidRPr="003015C7">
        <w:t>.</w:t>
      </w:r>
    </w:p>
    <w:p w:rsidR="00723E07" w:rsidRPr="00B445BD" w:rsidRDefault="00723E07" w:rsidP="00723E07">
      <w:pPr>
        <w:pStyle w:val="Paragraphedeliste"/>
        <w:numPr>
          <w:ilvl w:val="0"/>
          <w:numId w:val="31"/>
        </w:numPr>
        <w:tabs>
          <w:tab w:val="left" w:pos="426"/>
        </w:tabs>
        <w:autoSpaceDE w:val="0"/>
        <w:autoSpaceDN w:val="0"/>
        <w:adjustRightInd w:val="0"/>
        <w:spacing w:before="120" w:after="120" w:line="360" w:lineRule="auto"/>
        <w:jc w:val="both"/>
        <w:rPr>
          <w:b/>
          <w:bCs/>
        </w:rPr>
      </w:pPr>
      <w:r w:rsidRPr="00B445BD">
        <w:rPr>
          <w:b/>
          <w:bCs/>
        </w:rPr>
        <w:t>Mouvement intracellulaire et passage de cellule en cellule</w:t>
      </w:r>
    </w:p>
    <w:p w:rsidR="00723E07" w:rsidRPr="003015C7" w:rsidRDefault="00723E07" w:rsidP="00723E07">
      <w:pPr>
        <w:tabs>
          <w:tab w:val="left" w:pos="426"/>
        </w:tabs>
        <w:autoSpaceDE w:val="0"/>
        <w:autoSpaceDN w:val="0"/>
        <w:adjustRightInd w:val="0"/>
        <w:spacing w:before="120" w:after="120" w:line="360" w:lineRule="auto"/>
        <w:jc w:val="both"/>
      </w:pPr>
      <w:r>
        <w:tab/>
      </w:r>
      <w:r w:rsidRPr="003015C7">
        <w:t xml:space="preserve">Dès la libération des bactéries dans le cytoplasme, un nuage de filaments d'actine entoure la bactérie </w:t>
      </w:r>
      <w:r w:rsidRPr="00B445BD">
        <w:rPr>
          <w:color w:val="0000FF"/>
        </w:rPr>
        <w:t xml:space="preserve">(figure </w:t>
      </w:r>
      <w:r>
        <w:rPr>
          <w:color w:val="0000FF"/>
        </w:rPr>
        <w:t>5</w:t>
      </w:r>
      <w:r w:rsidRPr="00B445BD">
        <w:rPr>
          <w:color w:val="0000FF"/>
        </w:rPr>
        <w:t>, numéro 3)</w:t>
      </w:r>
      <w:r w:rsidRPr="003015C7">
        <w:t xml:space="preserve">. Par la suite, ces filaments d'actine se réarrangent en une queue de 40^m à une des extrémités de la bactérie </w:t>
      </w:r>
      <w:r w:rsidRPr="00B445BD">
        <w:rPr>
          <w:color w:val="0000FF"/>
        </w:rPr>
        <w:t xml:space="preserve">(figure </w:t>
      </w:r>
      <w:r>
        <w:rPr>
          <w:color w:val="0000FF"/>
        </w:rPr>
        <w:t>5</w:t>
      </w:r>
      <w:r w:rsidRPr="00B445BD">
        <w:rPr>
          <w:color w:val="0000FF"/>
        </w:rPr>
        <w:t>, numéro 4)</w:t>
      </w:r>
      <w:r w:rsidRPr="003015C7">
        <w:t xml:space="preserve">. </w:t>
      </w:r>
    </w:p>
    <w:p w:rsidR="00723E07" w:rsidRDefault="00723E07" w:rsidP="00723E07">
      <w:pPr>
        <w:autoSpaceDE w:val="0"/>
        <w:autoSpaceDN w:val="0"/>
        <w:adjustRightInd w:val="0"/>
        <w:spacing w:before="120" w:after="120" w:line="360" w:lineRule="auto"/>
        <w:ind w:firstLine="708"/>
        <w:jc w:val="both"/>
      </w:pPr>
      <w:r w:rsidRPr="003015C7">
        <w:t xml:space="preserve">Cet arrangement polaire des filaments d'actine permet le déplacement de la bactérie de façon aléatoire à une vitesse de 0.3 µm/s à l'intérieur du cytoplasme. Suite à ces déplacements, certaines cellules bactériennes se retrouvent en contact avec la membrane de la cellule infectée et poussent cette dernière, ce qui provoque la formation d'une protubérance en forme de doigt </w:t>
      </w:r>
      <w:r w:rsidRPr="009861B4">
        <w:rPr>
          <w:color w:val="0000FF"/>
        </w:rPr>
        <w:t xml:space="preserve">(figure </w:t>
      </w:r>
      <w:r>
        <w:rPr>
          <w:color w:val="0000FF"/>
        </w:rPr>
        <w:t>5</w:t>
      </w:r>
      <w:r w:rsidRPr="009861B4">
        <w:rPr>
          <w:color w:val="0000FF"/>
        </w:rPr>
        <w:t>, numéro 5)</w:t>
      </w:r>
      <w:r w:rsidRPr="003015C7">
        <w:t xml:space="preserve">. </w:t>
      </w:r>
    </w:p>
    <w:p w:rsidR="00723E07" w:rsidRPr="003015C7" w:rsidRDefault="00723E07" w:rsidP="00723E07">
      <w:pPr>
        <w:autoSpaceDE w:val="0"/>
        <w:autoSpaceDN w:val="0"/>
        <w:adjustRightInd w:val="0"/>
        <w:spacing w:before="120" w:after="120" w:line="360" w:lineRule="auto"/>
        <w:ind w:firstLine="708"/>
        <w:jc w:val="both"/>
      </w:pPr>
      <w:r w:rsidRPr="003015C7">
        <w:t xml:space="preserve">La bactérie continue sa route et cette protubérance vient en contact avec une cellule voisine non infectée, résultant en la formation d'un phagosome secondaire entouré d'une double membrane </w:t>
      </w:r>
      <w:r w:rsidRPr="00F4667B">
        <w:rPr>
          <w:color w:val="0000FF"/>
        </w:rPr>
        <w:t xml:space="preserve">(figure </w:t>
      </w:r>
      <w:r>
        <w:rPr>
          <w:color w:val="0000FF"/>
        </w:rPr>
        <w:t>5,</w:t>
      </w:r>
      <w:r w:rsidRPr="009861B4">
        <w:rPr>
          <w:color w:val="0000FF"/>
        </w:rPr>
        <w:t xml:space="preserve"> </w:t>
      </w:r>
      <w:r w:rsidRPr="00903836">
        <w:rPr>
          <w:color w:val="0000FF"/>
        </w:rPr>
        <w:t xml:space="preserve">numéro </w:t>
      </w:r>
      <w:r>
        <w:rPr>
          <w:color w:val="0000FF"/>
        </w:rPr>
        <w:t>6)</w:t>
      </w:r>
      <w:r w:rsidRPr="003015C7">
        <w:t xml:space="preserve">. </w:t>
      </w:r>
    </w:p>
    <w:p w:rsidR="00723E07" w:rsidRDefault="00723E07" w:rsidP="00723E07">
      <w:pPr>
        <w:autoSpaceDE w:val="0"/>
        <w:autoSpaceDN w:val="0"/>
        <w:adjustRightInd w:val="0"/>
        <w:spacing w:before="120" w:after="120" w:line="360" w:lineRule="auto"/>
        <w:ind w:firstLine="708"/>
        <w:jc w:val="both"/>
      </w:pPr>
      <w:r w:rsidRPr="003015C7">
        <w:t xml:space="preserve">Par la suite, </w:t>
      </w:r>
      <w:r w:rsidRPr="00CC4071">
        <w:rPr>
          <w:i/>
          <w:iCs/>
        </w:rPr>
        <w:t xml:space="preserve">L. monocytogenes  </w:t>
      </w:r>
      <w:r w:rsidRPr="003015C7">
        <w:t xml:space="preserve">dissout rapidement cette double membrane et se retrouve à nouveau libre dans le cytoplasme d'une nouvelle cellule, prête à recommencer son cycle de reproduction </w:t>
      </w:r>
      <w:r w:rsidRPr="009861B4">
        <w:rPr>
          <w:color w:val="0000FF"/>
        </w:rPr>
        <w:t xml:space="preserve">(figure </w:t>
      </w:r>
      <w:r>
        <w:rPr>
          <w:color w:val="0000FF"/>
        </w:rPr>
        <w:t>5</w:t>
      </w:r>
      <w:r w:rsidRPr="009861B4">
        <w:rPr>
          <w:color w:val="0000FF"/>
        </w:rPr>
        <w:t>, numéro 7)</w:t>
      </w:r>
      <w:r w:rsidRPr="003015C7">
        <w:t xml:space="preserve">. </w:t>
      </w:r>
    </w:p>
    <w:p w:rsidR="00723E07" w:rsidRPr="003015C7" w:rsidRDefault="00723E07" w:rsidP="00723E07">
      <w:pPr>
        <w:autoSpaceDE w:val="0"/>
        <w:autoSpaceDN w:val="0"/>
        <w:adjustRightInd w:val="0"/>
        <w:spacing w:before="120" w:after="120" w:line="360" w:lineRule="auto"/>
        <w:ind w:firstLine="708"/>
        <w:jc w:val="both"/>
        <w:rPr>
          <w:color w:val="FF0000"/>
        </w:rPr>
      </w:pPr>
      <w:r w:rsidRPr="003015C7">
        <w:t xml:space="preserve">C'est la protéine de surface ActA qui est responsable de tout ce mécanisme de mouvement par l'intermédiaire de l'actine et de la propagation de cellule en cellule </w:t>
      </w:r>
      <w:r w:rsidRPr="003015C7">
        <w:rPr>
          <w:color w:val="FF0000"/>
        </w:rPr>
        <w:t xml:space="preserve"> </w:t>
      </w:r>
      <w:r w:rsidRPr="003015C7">
        <w:rPr>
          <w:color w:val="0000FF"/>
        </w:rPr>
        <w:t xml:space="preserve">(Vâsquez-Boland </w:t>
      </w:r>
      <w:r w:rsidRPr="003015C7">
        <w:rPr>
          <w:i/>
          <w:iCs/>
          <w:color w:val="0000FF"/>
        </w:rPr>
        <w:t>et al</w:t>
      </w:r>
      <w:r w:rsidRPr="003015C7">
        <w:rPr>
          <w:color w:val="0000FF"/>
        </w:rPr>
        <w:t>., 2001)</w:t>
      </w:r>
      <w:r w:rsidRPr="003015C7">
        <w:t>.</w:t>
      </w:r>
    </w:p>
    <w:p w:rsidR="00723E07" w:rsidRPr="003015C7" w:rsidRDefault="00723E07" w:rsidP="00723E07">
      <w:pPr>
        <w:autoSpaceDE w:val="0"/>
        <w:autoSpaceDN w:val="0"/>
        <w:adjustRightInd w:val="0"/>
        <w:spacing w:before="120" w:after="120" w:line="360" w:lineRule="auto"/>
        <w:ind w:firstLine="708"/>
        <w:jc w:val="both"/>
      </w:pPr>
      <w:r w:rsidRPr="003015C7">
        <w:lastRenderedPageBreak/>
        <w:t xml:space="preserve">C'est grâce à ce mécanisme de reproduction que </w:t>
      </w:r>
      <w:r w:rsidRPr="00CC4071">
        <w:rPr>
          <w:i/>
          <w:iCs/>
        </w:rPr>
        <w:t xml:space="preserve">L. monocytogenes  </w:t>
      </w:r>
      <w:r w:rsidRPr="003015C7">
        <w:t>se multiplie dans l'organisme sans entrer dans la circulation sanguine, et par le fait même évite toutes les cellules du système immunitaire susceptibles de limiter sa propagation.</w:t>
      </w:r>
    </w:p>
    <w:p w:rsidR="00723E07" w:rsidRDefault="00723E07" w:rsidP="00723E07">
      <w:pPr>
        <w:pStyle w:val="Titre6"/>
        <w:spacing w:before="120" w:after="120" w:line="360" w:lineRule="auto"/>
        <w:ind w:firstLine="600"/>
        <w:jc w:val="both"/>
        <w:rPr>
          <w:i/>
          <w:sz w:val="24"/>
          <w:szCs w:val="24"/>
        </w:rPr>
      </w:pPr>
      <w:r w:rsidRPr="00784C0B">
        <w:t>II.</w:t>
      </w:r>
      <w:r>
        <w:t>2</w:t>
      </w:r>
      <w:r w:rsidRPr="00784C0B">
        <w:t xml:space="preserve">. </w:t>
      </w:r>
      <w:r w:rsidRPr="00784C0B">
        <w:rPr>
          <w:i/>
          <w:sz w:val="24"/>
          <w:szCs w:val="24"/>
        </w:rPr>
        <w:t>Staphylococcus aureus</w:t>
      </w:r>
      <w:bookmarkStart w:id="21" w:name="1496"/>
      <w:bookmarkStart w:id="22" w:name="1498"/>
      <w:bookmarkEnd w:id="21"/>
      <w:bookmarkEnd w:id="22"/>
    </w:p>
    <w:p w:rsidR="00723E07" w:rsidRDefault="00723E07" w:rsidP="00723E07">
      <w:pPr>
        <w:pStyle w:val="Titre6"/>
        <w:spacing w:before="120" w:after="120" w:line="360" w:lineRule="auto"/>
        <w:ind w:firstLine="600"/>
        <w:jc w:val="both"/>
        <w:rPr>
          <w:sz w:val="24"/>
          <w:szCs w:val="24"/>
        </w:rPr>
      </w:pPr>
      <w:r w:rsidRPr="00784C0B">
        <w:t xml:space="preserve">II.2.1. </w:t>
      </w:r>
      <w:r w:rsidRPr="00784C0B">
        <w:rPr>
          <w:sz w:val="24"/>
          <w:szCs w:val="24"/>
        </w:rPr>
        <w:t>Etiologie et physiopathologie</w:t>
      </w:r>
      <w:bookmarkStart w:id="23" w:name="1500"/>
      <w:bookmarkEnd w:id="23"/>
    </w:p>
    <w:p w:rsidR="00723E07" w:rsidRDefault="00723E07" w:rsidP="00723E07">
      <w:pPr>
        <w:pStyle w:val="Titre6"/>
        <w:spacing w:before="120" w:after="120" w:line="360" w:lineRule="auto"/>
        <w:ind w:firstLine="600"/>
        <w:jc w:val="both"/>
        <w:rPr>
          <w:b w:val="0"/>
          <w:bCs w:val="0"/>
          <w:sz w:val="24"/>
          <w:szCs w:val="24"/>
        </w:rPr>
      </w:pPr>
      <w:r w:rsidRPr="00784C0B">
        <w:rPr>
          <w:b w:val="0"/>
          <w:bCs w:val="0"/>
        </w:rPr>
        <w:t xml:space="preserve">Les symptômes </w:t>
      </w:r>
      <w:r w:rsidRPr="00784C0B">
        <w:rPr>
          <w:b w:val="0"/>
          <w:bCs w:val="0"/>
          <w:sz w:val="24"/>
          <w:szCs w:val="24"/>
        </w:rPr>
        <w:t xml:space="preserve">de l'intoxication alimentaire à staphylocoques sont causés par l'entérotoxine staphylococcique et non par le staphylocoque en soi. C'est une cause fréquente d'intoxication alimentaire, et le risque d'épidémie est élevé lorsque les aliments contaminés par des sujets porteurs d'infections cutanées sont conservés à température ambiante. </w:t>
      </w:r>
    </w:p>
    <w:p w:rsidR="00723E07" w:rsidRPr="00784C0B" w:rsidRDefault="00723E07" w:rsidP="00723E07">
      <w:pPr>
        <w:pStyle w:val="Titre6"/>
        <w:spacing w:before="120" w:after="120" w:line="360" w:lineRule="auto"/>
        <w:ind w:firstLine="600"/>
        <w:jc w:val="both"/>
        <w:rPr>
          <w:b w:val="0"/>
          <w:bCs w:val="0"/>
          <w:sz w:val="24"/>
          <w:szCs w:val="24"/>
        </w:rPr>
      </w:pPr>
      <w:r w:rsidRPr="00784C0B">
        <w:rPr>
          <w:b w:val="0"/>
          <w:bCs w:val="0"/>
          <w:sz w:val="24"/>
          <w:szCs w:val="24"/>
        </w:rPr>
        <w:t xml:space="preserve">Les crèmes et pâtisseries à la crème, le lait, les viandes préparées et le poisson sont des milieux de prédilection où les staphylocoques coagulase-positifs prolifèrent et sécrètent des entérotoxines. </w:t>
      </w:r>
    </w:p>
    <w:p w:rsidR="00723E07" w:rsidRPr="00FB46AF" w:rsidRDefault="00723E07" w:rsidP="00723E07">
      <w:pPr>
        <w:pStyle w:val="Titre4"/>
        <w:spacing w:before="120" w:after="120" w:line="360" w:lineRule="auto"/>
        <w:ind w:firstLine="600"/>
        <w:rPr>
          <w:sz w:val="24"/>
          <w:szCs w:val="24"/>
        </w:rPr>
      </w:pPr>
      <w:bookmarkStart w:id="24" w:name="1502"/>
      <w:bookmarkEnd w:id="24"/>
      <w:r w:rsidRPr="00784C0B">
        <w:rPr>
          <w:sz w:val="22"/>
          <w:szCs w:val="22"/>
        </w:rPr>
        <w:t>II.2.</w:t>
      </w:r>
      <w:r>
        <w:rPr>
          <w:sz w:val="22"/>
          <w:szCs w:val="22"/>
        </w:rPr>
        <w:t>2</w:t>
      </w:r>
      <w:r w:rsidRPr="00784C0B">
        <w:rPr>
          <w:sz w:val="22"/>
          <w:szCs w:val="22"/>
        </w:rPr>
        <w:t xml:space="preserve">. </w:t>
      </w:r>
      <w:r w:rsidRPr="00FB46AF">
        <w:rPr>
          <w:sz w:val="24"/>
          <w:szCs w:val="24"/>
        </w:rPr>
        <w:t xml:space="preserve">Symptomatologie </w:t>
      </w:r>
    </w:p>
    <w:p w:rsidR="00723E07" w:rsidRDefault="00723E07" w:rsidP="00723E07">
      <w:pPr>
        <w:pStyle w:val="body"/>
        <w:spacing w:before="120" w:beforeAutospacing="0" w:after="120" w:afterAutospacing="0" w:line="360" w:lineRule="auto"/>
        <w:ind w:firstLine="600"/>
        <w:rPr>
          <w:rFonts w:ascii="Times New Roman" w:hAnsi="Times New Roman"/>
          <w:sz w:val="24"/>
          <w:szCs w:val="24"/>
        </w:rPr>
      </w:pPr>
      <w:bookmarkStart w:id="25" w:name="1504"/>
      <w:bookmarkEnd w:id="25"/>
      <w:r w:rsidRPr="008A7A08">
        <w:rPr>
          <w:rFonts w:ascii="Times New Roman" w:hAnsi="Times New Roman"/>
          <w:sz w:val="24"/>
          <w:szCs w:val="24"/>
        </w:rPr>
        <w:t xml:space="preserve">Le début est généralement brutal. De manière caractéristique, les symptômes commencent par des nausées et des vomissements 2 à 8 h après l'ingestion des aliments contenant la toxine. Parfois, on note des crampes abdominales, une diarrhée et éventuellement des maux de tête et de la fièvre. </w:t>
      </w:r>
    </w:p>
    <w:p w:rsidR="00723E07" w:rsidRDefault="00723E07" w:rsidP="00723E07">
      <w:pPr>
        <w:pStyle w:val="body"/>
        <w:spacing w:before="120" w:beforeAutospacing="0" w:after="120" w:afterAutospacing="0" w:line="360" w:lineRule="auto"/>
        <w:ind w:firstLine="600"/>
        <w:rPr>
          <w:rFonts w:ascii="Times New Roman" w:hAnsi="Times New Roman"/>
          <w:sz w:val="24"/>
          <w:szCs w:val="24"/>
        </w:rPr>
      </w:pPr>
      <w:r w:rsidRPr="008A7A08">
        <w:rPr>
          <w:rFonts w:ascii="Times New Roman" w:hAnsi="Times New Roman"/>
          <w:sz w:val="24"/>
          <w:szCs w:val="24"/>
        </w:rPr>
        <w:t xml:space="preserve">Puisque la toxine n'est pas responsable d'ulcérations de la muqueuse, la diarrhée est habituellement non sanglante. Dans les formes sévères, le malade est prostré, voire en état de choc, avec déséquilibre acido-basique. </w:t>
      </w:r>
    </w:p>
    <w:p w:rsidR="00723E07" w:rsidRPr="008A7A08" w:rsidRDefault="00723E07" w:rsidP="00723E07">
      <w:pPr>
        <w:pStyle w:val="body"/>
        <w:spacing w:before="120" w:beforeAutospacing="0" w:after="120" w:afterAutospacing="0" w:line="360" w:lineRule="auto"/>
        <w:ind w:firstLine="600"/>
        <w:rPr>
          <w:rFonts w:ascii="Times New Roman" w:hAnsi="Times New Roman"/>
          <w:sz w:val="24"/>
          <w:szCs w:val="24"/>
        </w:rPr>
      </w:pPr>
      <w:r w:rsidRPr="008A7A08">
        <w:rPr>
          <w:rFonts w:ascii="Times New Roman" w:hAnsi="Times New Roman"/>
          <w:sz w:val="24"/>
          <w:szCs w:val="24"/>
        </w:rPr>
        <w:t xml:space="preserve">L'intoxication est brève, souvent &lt; 12 h, et la guérison complète est la règle. Les rares décès sont dus aux déséquilibres hydriques et métaboliques, en particulier chez les patients très jeunes et chez les personnes âgées ou chroniquement malades. </w:t>
      </w:r>
    </w:p>
    <w:p w:rsidR="00723E07" w:rsidRDefault="00723E07" w:rsidP="00723E07">
      <w:pPr>
        <w:tabs>
          <w:tab w:val="left" w:pos="1080"/>
        </w:tabs>
        <w:spacing w:before="120" w:after="120" w:line="360" w:lineRule="auto"/>
        <w:jc w:val="both"/>
        <w:rPr>
          <w:b/>
          <w:bCs/>
          <w:sz w:val="22"/>
          <w:szCs w:val="22"/>
        </w:rPr>
      </w:pPr>
    </w:p>
    <w:p w:rsidR="00723E07" w:rsidRPr="005D025D" w:rsidRDefault="00723E07" w:rsidP="00723E07">
      <w:pPr>
        <w:tabs>
          <w:tab w:val="left" w:pos="0"/>
        </w:tabs>
        <w:spacing w:before="120" w:after="120" w:line="360" w:lineRule="auto"/>
        <w:jc w:val="both"/>
        <w:rPr>
          <w:b/>
          <w:bCs/>
          <w:sz w:val="22"/>
          <w:szCs w:val="22"/>
        </w:rPr>
      </w:pPr>
      <w:r>
        <w:rPr>
          <w:b/>
          <w:bCs/>
          <w:sz w:val="22"/>
          <w:szCs w:val="22"/>
        </w:rPr>
        <w:t xml:space="preserve">          </w:t>
      </w:r>
      <w:r w:rsidRPr="00784C0B">
        <w:rPr>
          <w:b/>
          <w:bCs/>
          <w:sz w:val="22"/>
          <w:szCs w:val="22"/>
        </w:rPr>
        <w:t xml:space="preserve">II.2.3. </w:t>
      </w:r>
      <w:r w:rsidRPr="00784C0B">
        <w:rPr>
          <w:b/>
          <w:bCs/>
        </w:rPr>
        <w:t xml:space="preserve">Caractères microbiologiques </w:t>
      </w:r>
    </w:p>
    <w:p w:rsidR="00723E07" w:rsidRPr="003015C7" w:rsidRDefault="00723E07" w:rsidP="00723E07">
      <w:pPr>
        <w:pStyle w:val="Titre6"/>
        <w:tabs>
          <w:tab w:val="left" w:pos="0"/>
        </w:tabs>
        <w:spacing w:before="120" w:after="120" w:line="360" w:lineRule="auto"/>
        <w:ind w:firstLine="539"/>
        <w:jc w:val="both"/>
        <w:rPr>
          <w:b w:val="0"/>
          <w:sz w:val="24"/>
          <w:szCs w:val="24"/>
        </w:rPr>
      </w:pPr>
      <w:r w:rsidRPr="003015C7">
        <w:rPr>
          <w:b w:val="0"/>
          <w:i/>
          <w:sz w:val="24"/>
          <w:szCs w:val="24"/>
        </w:rPr>
        <w:t>S. aureus</w:t>
      </w:r>
      <w:r w:rsidRPr="003015C7">
        <w:rPr>
          <w:b w:val="0"/>
          <w:sz w:val="24"/>
          <w:szCs w:val="24"/>
        </w:rPr>
        <w:t xml:space="preserve"> est une bactérie sphérique (coccus) dont l’examen microscopique la montre en paires, courtes chaînes, ou formant des grappes à gram positif </w:t>
      </w:r>
      <w:r w:rsidRPr="001C60BB">
        <w:rPr>
          <w:b w:val="0"/>
          <w:color w:val="0000FF"/>
          <w:sz w:val="24"/>
          <w:szCs w:val="24"/>
        </w:rPr>
        <w:t>(</w:t>
      </w:r>
      <w:r w:rsidRPr="003015C7">
        <w:rPr>
          <w:b w:val="0"/>
          <w:color w:val="0000FF"/>
          <w:sz w:val="24"/>
          <w:szCs w:val="24"/>
        </w:rPr>
        <w:t>Figure 4</w:t>
      </w:r>
      <w:r w:rsidRPr="001C60BB">
        <w:rPr>
          <w:b w:val="0"/>
          <w:color w:val="0000FF"/>
          <w:sz w:val="24"/>
          <w:szCs w:val="24"/>
        </w:rPr>
        <w:t>)</w:t>
      </w:r>
      <w:r w:rsidRPr="003015C7">
        <w:rPr>
          <w:b w:val="0"/>
          <w:sz w:val="24"/>
          <w:szCs w:val="24"/>
        </w:rPr>
        <w:t xml:space="preserve">. Plusieurs souches sont capables de produire des toxines bactériennes hautement thermostables qui causent des troubles chez l’humain </w:t>
      </w:r>
      <w:r w:rsidRPr="001C60BB">
        <w:rPr>
          <w:b w:val="0"/>
          <w:color w:val="0000FF"/>
          <w:sz w:val="24"/>
          <w:szCs w:val="24"/>
        </w:rPr>
        <w:t>(</w:t>
      </w:r>
      <w:r w:rsidRPr="003015C7">
        <w:rPr>
          <w:b w:val="0"/>
          <w:color w:val="0000FF"/>
          <w:sz w:val="24"/>
          <w:szCs w:val="24"/>
        </w:rPr>
        <w:t>Redman, 2000</w:t>
      </w:r>
      <w:r w:rsidRPr="001C60BB">
        <w:rPr>
          <w:b w:val="0"/>
          <w:color w:val="0000FF"/>
          <w:sz w:val="24"/>
          <w:szCs w:val="24"/>
        </w:rPr>
        <w:t>)</w:t>
      </w:r>
      <w:r w:rsidRPr="003015C7">
        <w:rPr>
          <w:b w:val="0"/>
          <w:sz w:val="24"/>
          <w:szCs w:val="24"/>
        </w:rPr>
        <w:t>.</w:t>
      </w:r>
    </w:p>
    <w:p w:rsidR="00723E07" w:rsidRPr="003015C7" w:rsidRDefault="00723E07" w:rsidP="00723E07">
      <w:pPr>
        <w:pStyle w:val="Titre6"/>
        <w:spacing w:before="120" w:after="120" w:line="360" w:lineRule="auto"/>
        <w:ind w:firstLine="539"/>
        <w:jc w:val="both"/>
      </w:pPr>
      <w:r w:rsidRPr="003015C7">
        <w:rPr>
          <w:b w:val="0"/>
          <w:iCs/>
          <w:sz w:val="24"/>
          <w:szCs w:val="24"/>
        </w:rPr>
        <w:lastRenderedPageBreak/>
        <w:t>Les</w:t>
      </w:r>
      <w:r w:rsidRPr="003015C7">
        <w:rPr>
          <w:b w:val="0"/>
          <w:i/>
          <w:sz w:val="24"/>
          <w:szCs w:val="24"/>
        </w:rPr>
        <w:t xml:space="preserve"> Staphylococcus </w:t>
      </w:r>
      <w:r w:rsidRPr="003015C7">
        <w:rPr>
          <w:b w:val="0"/>
          <w:iCs/>
          <w:sz w:val="24"/>
          <w:szCs w:val="24"/>
        </w:rPr>
        <w:t>sont présents dans le passage nasal, la gorge, les cheveux et la peau de 50% ou plus des individus seins sans causer de malaise</w:t>
      </w:r>
      <w:r w:rsidRPr="003015C7">
        <w:rPr>
          <w:b w:val="0"/>
          <w:i/>
          <w:sz w:val="24"/>
          <w:szCs w:val="24"/>
        </w:rPr>
        <w:t xml:space="preserve"> </w:t>
      </w:r>
      <w:r w:rsidRPr="001C60BB">
        <w:rPr>
          <w:b w:val="0"/>
          <w:iCs/>
          <w:color w:val="0000FF"/>
          <w:sz w:val="24"/>
          <w:szCs w:val="24"/>
        </w:rPr>
        <w:t>(</w:t>
      </w:r>
      <w:r w:rsidRPr="003015C7">
        <w:rPr>
          <w:b w:val="0"/>
          <w:iCs/>
          <w:color w:val="0000FF"/>
          <w:sz w:val="24"/>
          <w:szCs w:val="24"/>
        </w:rPr>
        <w:t xml:space="preserve">Fueyo </w:t>
      </w:r>
      <w:r w:rsidRPr="001C60BB">
        <w:rPr>
          <w:b w:val="0"/>
          <w:i/>
          <w:color w:val="0000FF"/>
          <w:sz w:val="24"/>
          <w:szCs w:val="24"/>
        </w:rPr>
        <w:t>et al</w:t>
      </w:r>
      <w:r w:rsidRPr="001C60BB">
        <w:rPr>
          <w:b w:val="0"/>
          <w:iCs/>
          <w:color w:val="0000FF"/>
          <w:sz w:val="24"/>
          <w:szCs w:val="24"/>
        </w:rPr>
        <w:t xml:space="preserve">., </w:t>
      </w:r>
      <w:r w:rsidRPr="003015C7">
        <w:rPr>
          <w:b w:val="0"/>
          <w:iCs/>
          <w:color w:val="0000FF"/>
          <w:sz w:val="24"/>
          <w:szCs w:val="24"/>
        </w:rPr>
        <w:t>2005</w:t>
      </w:r>
      <w:r w:rsidRPr="001C60BB">
        <w:rPr>
          <w:b w:val="0"/>
          <w:iCs/>
          <w:color w:val="0000FF"/>
          <w:sz w:val="24"/>
          <w:szCs w:val="24"/>
        </w:rPr>
        <w:t>)</w:t>
      </w:r>
      <w:r w:rsidRPr="003015C7">
        <w:rPr>
          <w:b w:val="0"/>
          <w:i/>
          <w:sz w:val="24"/>
          <w:szCs w:val="24"/>
        </w:rPr>
        <w:t>.</w:t>
      </w:r>
      <w:r>
        <w:rPr>
          <w:b w:val="0"/>
          <w:i/>
          <w:sz w:val="24"/>
          <w:szCs w:val="24"/>
        </w:rPr>
        <w:t xml:space="preserve"> </w:t>
      </w:r>
      <w:r w:rsidRPr="001C60BB">
        <w:rPr>
          <w:b w:val="0"/>
          <w:bCs w:val="0"/>
          <w:i/>
        </w:rPr>
        <w:t xml:space="preserve">Staphylococcus </w:t>
      </w:r>
      <w:r w:rsidRPr="001C60BB">
        <w:rPr>
          <w:b w:val="0"/>
          <w:bCs w:val="0"/>
        </w:rPr>
        <w:t>peut survivre dans l’air, la poussière, les égouts, l’eau, le lait, les équipements alimentaires et les surfaces.</w:t>
      </w:r>
      <w:r w:rsidRPr="003015C7">
        <w:t xml:space="preserve"> </w:t>
      </w:r>
    </w:p>
    <w:p w:rsidR="00723E07" w:rsidRPr="003015C7" w:rsidRDefault="00723E07" w:rsidP="00723E07">
      <w:pPr>
        <w:autoSpaceDE w:val="0"/>
        <w:autoSpaceDN w:val="0"/>
        <w:adjustRightInd w:val="0"/>
        <w:spacing w:before="120" w:after="120" w:line="360" w:lineRule="auto"/>
        <w:ind w:firstLine="539"/>
        <w:jc w:val="both"/>
      </w:pPr>
      <w:r w:rsidRPr="003015C7">
        <w:t>Puisqu’elle est tellement omniprésente, il est difficile de prévenir sa transmission. Elle</w:t>
      </w:r>
      <w:r w:rsidRPr="003015C7">
        <w:rPr>
          <w:i/>
          <w:iCs/>
          <w:color w:val="000000"/>
        </w:rPr>
        <w:t xml:space="preserve"> </w:t>
      </w:r>
      <w:r w:rsidRPr="003015C7">
        <w:rPr>
          <w:color w:val="000000"/>
        </w:rPr>
        <w:t xml:space="preserve">a été fréquemment détectée comme contaminant de produits alimentaires. </w:t>
      </w:r>
      <w:r w:rsidRPr="003015C7">
        <w:t xml:space="preserve">Quoique le nombre de cas constatés est relativement faible. Le nombre actuel est probablement plus élevé puisque plusieurs cas passent sans déclarations parce que la durée de la maladie est trop courte, et les symptômes ne sont pas sévères </w:t>
      </w:r>
      <w:r w:rsidRPr="003015C7">
        <w:rPr>
          <w:color w:val="0000FF"/>
        </w:rPr>
        <w:t>(Redman, 2000)</w:t>
      </w:r>
      <w:r w:rsidRPr="003015C7">
        <w:t>.</w:t>
      </w:r>
    </w:p>
    <w:p w:rsidR="00723E07" w:rsidRPr="003015C7" w:rsidRDefault="00723E07" w:rsidP="00723E07">
      <w:pPr>
        <w:tabs>
          <w:tab w:val="left" w:pos="567"/>
        </w:tabs>
        <w:spacing w:before="120" w:after="120" w:line="360" w:lineRule="auto"/>
        <w:jc w:val="both"/>
        <w:rPr>
          <w:b/>
          <w:color w:val="FF0000"/>
          <w:lang w:eastAsia="en-US"/>
        </w:rPr>
      </w:pPr>
      <w:r>
        <w:rPr>
          <w:b/>
          <w:bCs/>
          <w:sz w:val="22"/>
          <w:szCs w:val="22"/>
        </w:rPr>
        <w:tab/>
      </w:r>
      <w:r w:rsidRPr="00784C0B">
        <w:rPr>
          <w:b/>
          <w:bCs/>
          <w:sz w:val="22"/>
          <w:szCs w:val="22"/>
        </w:rPr>
        <w:t>II.2.</w:t>
      </w:r>
      <w:r>
        <w:rPr>
          <w:b/>
          <w:bCs/>
          <w:sz w:val="22"/>
          <w:szCs w:val="22"/>
        </w:rPr>
        <w:t>4</w:t>
      </w:r>
      <w:r w:rsidRPr="00784C0B">
        <w:rPr>
          <w:b/>
          <w:bCs/>
          <w:sz w:val="22"/>
          <w:szCs w:val="22"/>
        </w:rPr>
        <w:t xml:space="preserve">. </w:t>
      </w:r>
      <w:r w:rsidRPr="007D6597">
        <w:rPr>
          <w:b/>
          <w:lang w:eastAsia="en-US"/>
        </w:rPr>
        <w:t>Nature de l’infection</w:t>
      </w:r>
    </w:p>
    <w:p w:rsidR="00723E07" w:rsidRPr="003015C7" w:rsidRDefault="00723E07" w:rsidP="00723E07">
      <w:pPr>
        <w:tabs>
          <w:tab w:val="left" w:pos="567"/>
        </w:tabs>
        <w:spacing w:before="120" w:after="120" w:line="360" w:lineRule="auto"/>
        <w:ind w:firstLine="539"/>
        <w:jc w:val="both"/>
        <w:rPr>
          <w:lang w:eastAsia="en-US"/>
        </w:rPr>
      </w:pPr>
      <w:r w:rsidRPr="003015C7">
        <w:rPr>
          <w:lang w:eastAsia="en-US"/>
        </w:rPr>
        <w:t xml:space="preserve">De nombreux biotypes de l’espèce </w:t>
      </w:r>
      <w:r w:rsidRPr="003015C7">
        <w:rPr>
          <w:i/>
          <w:iCs/>
          <w:lang w:eastAsia="en-US"/>
        </w:rPr>
        <w:t xml:space="preserve">Staphylococcus aureus </w:t>
      </w:r>
      <w:r w:rsidRPr="003015C7">
        <w:rPr>
          <w:lang w:eastAsia="en-US"/>
        </w:rPr>
        <w:t>sont toxiques pour l’homme. Ces biotypes sont entérotoxiques par l’intermédiaire d’une toxine thermorésistante qui est libérée dans les aliments pendant la croissance.</w:t>
      </w:r>
    </w:p>
    <w:p w:rsidR="00723E07" w:rsidRPr="003015C7" w:rsidRDefault="00723E07" w:rsidP="00723E07">
      <w:pPr>
        <w:spacing w:before="120" w:after="120" w:line="360" w:lineRule="auto"/>
        <w:ind w:firstLine="539"/>
        <w:jc w:val="both"/>
        <w:rPr>
          <w:lang w:eastAsia="en-US"/>
        </w:rPr>
      </w:pPr>
      <w:r w:rsidRPr="003015C7">
        <w:rPr>
          <w:lang w:eastAsia="en-US"/>
        </w:rPr>
        <w:t>Sept types d’ent</w:t>
      </w:r>
      <w:r>
        <w:rPr>
          <w:lang w:eastAsia="en-US"/>
        </w:rPr>
        <w:t>é</w:t>
      </w:r>
      <w:r w:rsidRPr="003015C7">
        <w:rPr>
          <w:lang w:eastAsia="en-US"/>
        </w:rPr>
        <w:t>rotoxines sont actuellement connus : A, B, C1, C2, C3, D, E (une toxine F ou H est parfois mentionnée).</w:t>
      </w:r>
    </w:p>
    <w:p w:rsidR="00723E07" w:rsidRPr="003015C7" w:rsidRDefault="00723E07" w:rsidP="00723E07">
      <w:pPr>
        <w:spacing w:before="120" w:after="120" w:line="360" w:lineRule="auto"/>
        <w:ind w:firstLine="539"/>
        <w:jc w:val="both"/>
      </w:pPr>
      <w:r w:rsidRPr="003015C7">
        <w:t xml:space="preserve">Les staphylocoques sont fréquemment impliqués dans des toxi-infections alimentaires </w:t>
      </w:r>
      <w:r w:rsidRPr="003015C7">
        <w:rPr>
          <w:i/>
          <w:iCs/>
        </w:rPr>
        <w:t>et al</w:t>
      </w:r>
      <w:r w:rsidRPr="003015C7">
        <w:t xml:space="preserve">ectives après consommation de viandes ou laitages, ils sont responsables d’un tableau brutal associant diarrhées et vomissements survenant 2 à 6 heures après l’ingestion d’aliments contaminés, notamment par des porteurs chroniques </w:t>
      </w:r>
      <w:r w:rsidRPr="001C60BB">
        <w:rPr>
          <w:color w:val="0000FF"/>
        </w:rPr>
        <w:t>(</w:t>
      </w:r>
      <w:r w:rsidRPr="003015C7">
        <w:rPr>
          <w:color w:val="0000FF"/>
        </w:rPr>
        <w:t xml:space="preserve">Aumaître </w:t>
      </w:r>
      <w:r w:rsidRPr="003015C7">
        <w:rPr>
          <w:i/>
          <w:iCs/>
          <w:color w:val="0000FF"/>
        </w:rPr>
        <w:t xml:space="preserve">et al., </w:t>
      </w:r>
      <w:r w:rsidRPr="003015C7">
        <w:rPr>
          <w:color w:val="0000FF"/>
        </w:rPr>
        <w:t>2004</w:t>
      </w:r>
      <w:r w:rsidRPr="001C60BB">
        <w:rPr>
          <w:color w:val="0000FF"/>
        </w:rPr>
        <w:t>)</w:t>
      </w:r>
      <w:r w:rsidRPr="003015C7">
        <w:t>.</w:t>
      </w:r>
    </w:p>
    <w:p w:rsidR="00723E07" w:rsidRPr="003015C7" w:rsidRDefault="00723E07" w:rsidP="00723E07">
      <w:pPr>
        <w:spacing w:before="120" w:after="120" w:line="360" w:lineRule="auto"/>
        <w:ind w:firstLine="540"/>
        <w:jc w:val="both"/>
      </w:pPr>
      <w:r w:rsidRPr="003015C7">
        <w:t xml:space="preserve">Le champ le plus courant de l’intoxication alimentaire par les </w:t>
      </w:r>
      <w:r w:rsidRPr="003015C7">
        <w:rPr>
          <w:i/>
        </w:rPr>
        <w:t xml:space="preserve"> Staphylococcus  </w:t>
      </w:r>
      <w:r w:rsidRPr="003015C7">
        <w:t xml:space="preserve">est l’apparition très rapide des symptômes qui débutent 3 à 6 heures après l’ingestion, brutalement  dans  un contexte  non   fébrile,  en   associant  des  vomissements,  une diarrhée aqueuse abondante, des douleurs abdominales et des céphalées. Ces signes évoluent favorablement en 24 à 48 heures </w:t>
      </w:r>
      <w:r w:rsidRPr="001C60BB">
        <w:rPr>
          <w:color w:val="0000FF"/>
        </w:rPr>
        <w:t>(</w:t>
      </w:r>
      <w:r w:rsidRPr="003015C7">
        <w:rPr>
          <w:color w:val="0000FF"/>
        </w:rPr>
        <w:t>Delmee, 2003</w:t>
      </w:r>
      <w:r w:rsidRPr="001C60BB">
        <w:rPr>
          <w:color w:val="0000FF"/>
        </w:rPr>
        <w:t>)</w:t>
      </w:r>
      <w:r w:rsidRPr="003015C7">
        <w:t xml:space="preserve">. </w:t>
      </w:r>
    </w:p>
    <w:p w:rsidR="00723E07" w:rsidRPr="0022360F" w:rsidRDefault="00723E07" w:rsidP="00723E07">
      <w:pPr>
        <w:spacing w:before="120" w:after="120" w:line="360" w:lineRule="auto"/>
        <w:ind w:firstLine="539"/>
        <w:jc w:val="both"/>
        <w:rPr>
          <w:b/>
          <w:bCs/>
          <w:color w:val="0000FF"/>
        </w:rPr>
      </w:pPr>
      <w:r w:rsidRPr="003015C7">
        <w:rPr>
          <w:lang w:eastAsia="en-US"/>
        </w:rPr>
        <w:t xml:space="preserve">Plusieurs individus contaminés peuvent  ne pas présenter tous les symptômes associés à la maladie. Dans les cas les plus sévères on constate des migraines, des crampes musculaires, des changements transitoires de la tension artérielle et du rythme cardiaque. Le rétablissement prend en général deux jours. Quoique, ce n’est pas inhabituel de prendre trois jours pour un rétablissement complet et parfois plus dans les </w:t>
      </w:r>
      <w:r w:rsidRPr="001C60BB">
        <w:rPr>
          <w:bCs/>
          <w:lang w:eastAsia="en-US"/>
        </w:rPr>
        <w:t>cas sévères</w:t>
      </w:r>
      <w:r w:rsidRPr="0022360F">
        <w:rPr>
          <w:b/>
          <w:bCs/>
          <w:color w:val="0000FF"/>
        </w:rPr>
        <w:t xml:space="preserve"> </w:t>
      </w:r>
      <w:r w:rsidRPr="00B65FFC">
        <w:rPr>
          <w:color w:val="0000FF"/>
        </w:rPr>
        <w:t>(Redman, 2000).</w:t>
      </w:r>
    </w:p>
    <w:p w:rsidR="00723E07" w:rsidRPr="003015C7" w:rsidRDefault="00723E07" w:rsidP="00723E07">
      <w:pPr>
        <w:tabs>
          <w:tab w:val="left" w:pos="567"/>
        </w:tabs>
        <w:spacing w:before="120" w:after="120" w:line="360" w:lineRule="auto"/>
        <w:jc w:val="both"/>
        <w:rPr>
          <w:b/>
          <w:color w:val="FF0000"/>
          <w:lang w:eastAsia="en-US"/>
        </w:rPr>
      </w:pPr>
      <w:r>
        <w:rPr>
          <w:b/>
          <w:bCs/>
          <w:sz w:val="22"/>
          <w:szCs w:val="22"/>
        </w:rPr>
        <w:tab/>
      </w:r>
      <w:r w:rsidRPr="00784C0B">
        <w:rPr>
          <w:b/>
          <w:bCs/>
          <w:sz w:val="22"/>
          <w:szCs w:val="22"/>
        </w:rPr>
        <w:t xml:space="preserve">II.2.3. </w:t>
      </w:r>
      <w:r w:rsidRPr="0022738B">
        <w:rPr>
          <w:b/>
          <w:lang w:eastAsia="en-US"/>
        </w:rPr>
        <w:t>Nature des toxines secrétées</w:t>
      </w:r>
    </w:p>
    <w:p w:rsidR="00723E07" w:rsidRPr="003015C7" w:rsidRDefault="00723E07" w:rsidP="00723E07">
      <w:pPr>
        <w:spacing w:before="120" w:after="120" w:line="360" w:lineRule="auto"/>
        <w:ind w:firstLine="539"/>
        <w:jc w:val="both"/>
        <w:rPr>
          <w:iCs/>
          <w:color w:val="000000"/>
        </w:rPr>
      </w:pPr>
      <w:r w:rsidRPr="003015C7">
        <w:rPr>
          <w:iCs/>
          <w:color w:val="000000"/>
        </w:rPr>
        <w:lastRenderedPageBreak/>
        <w:t xml:space="preserve">La plupart des souches de </w:t>
      </w:r>
      <w:r w:rsidRPr="003015C7">
        <w:rPr>
          <w:i/>
          <w:iCs/>
          <w:color w:val="000000"/>
        </w:rPr>
        <w:t xml:space="preserve">S. aureus </w:t>
      </w:r>
      <w:r w:rsidRPr="003015C7">
        <w:rPr>
          <w:iCs/>
          <w:color w:val="000000"/>
        </w:rPr>
        <w:t>produisent des toxines SHT ayant des activités biologiquement distinctes.</w:t>
      </w:r>
    </w:p>
    <w:p w:rsidR="00723E07" w:rsidRPr="003015C7" w:rsidRDefault="00723E07" w:rsidP="00723E07">
      <w:pPr>
        <w:spacing w:before="120" w:after="120" w:line="360" w:lineRule="auto"/>
        <w:ind w:firstLine="539"/>
        <w:jc w:val="both"/>
        <w:rPr>
          <w:lang w:eastAsia="en-US"/>
        </w:rPr>
      </w:pPr>
      <w:r w:rsidRPr="003015C7">
        <w:t xml:space="preserve">Après colonisation, </w:t>
      </w:r>
      <w:r w:rsidRPr="003015C7">
        <w:rPr>
          <w:i/>
          <w:iCs/>
          <w:color w:val="000000"/>
        </w:rPr>
        <w:t xml:space="preserve">S. aureus </w:t>
      </w:r>
      <w:r w:rsidRPr="003015C7">
        <w:rPr>
          <w:iCs/>
          <w:color w:val="000000"/>
        </w:rPr>
        <w:t>secrète des entérotoxines staphylococciques thermorésistantes dans les aliments qui peuvent engendrer des intoxications alimentaires après leur ingestion (</w:t>
      </w:r>
      <w:r w:rsidRPr="003015C7">
        <w:rPr>
          <w:color w:val="0000FF"/>
        </w:rPr>
        <w:t xml:space="preserve">Le Loir </w:t>
      </w:r>
      <w:r w:rsidRPr="003015C7">
        <w:rPr>
          <w:i/>
          <w:iCs/>
          <w:color w:val="0000FF"/>
        </w:rPr>
        <w:t>et al</w:t>
      </w:r>
      <w:r w:rsidRPr="003015C7">
        <w:rPr>
          <w:i/>
          <w:color w:val="0000FF"/>
        </w:rPr>
        <w:t>.,</w:t>
      </w:r>
      <w:r w:rsidRPr="003015C7">
        <w:rPr>
          <w:color w:val="0000FF"/>
        </w:rPr>
        <w:t xml:space="preserve"> 2003 ; Delmee, 2003</w:t>
      </w:r>
      <w:r w:rsidRPr="00442743">
        <w:rPr>
          <w:color w:val="0000FF"/>
        </w:rPr>
        <w:t>)</w:t>
      </w:r>
      <w:r w:rsidRPr="003015C7">
        <w:rPr>
          <w:iCs/>
          <w:color w:val="000000"/>
        </w:rPr>
        <w:t xml:space="preserve">. </w:t>
      </w:r>
      <w:r w:rsidRPr="003015C7">
        <w:t xml:space="preserve">Au moins cinq entérotoxines antigéniquement distinctes ont été identifiées </w:t>
      </w:r>
      <w:r w:rsidRPr="00442743">
        <w:rPr>
          <w:color w:val="0000FF"/>
        </w:rPr>
        <w:t>(</w:t>
      </w:r>
      <w:r w:rsidRPr="003015C7">
        <w:rPr>
          <w:color w:val="0000FF"/>
        </w:rPr>
        <w:t>Delmee, 2003</w:t>
      </w:r>
      <w:r w:rsidRPr="00442743">
        <w:rPr>
          <w:color w:val="0000FF"/>
        </w:rPr>
        <w:t>)</w:t>
      </w:r>
      <w:r w:rsidRPr="003015C7">
        <w:t>.</w:t>
      </w:r>
    </w:p>
    <w:p w:rsidR="00723E07" w:rsidRPr="003015C7" w:rsidRDefault="00723E07" w:rsidP="00723E07">
      <w:pPr>
        <w:spacing w:before="120" w:after="120" w:line="360" w:lineRule="auto"/>
        <w:ind w:firstLine="539"/>
        <w:jc w:val="both"/>
        <w:rPr>
          <w:lang w:eastAsia="en-US"/>
        </w:rPr>
      </w:pPr>
      <w:r w:rsidRPr="003015C7">
        <w:rPr>
          <w:lang w:eastAsia="en-US"/>
        </w:rPr>
        <w:t xml:space="preserve">Le début des symptômes de l’intoxication alimentaire aux </w:t>
      </w:r>
      <w:r w:rsidRPr="003015C7">
        <w:rPr>
          <w:i/>
          <w:lang w:eastAsia="en-US"/>
        </w:rPr>
        <w:t>Staphylococcus</w:t>
      </w:r>
      <w:r w:rsidRPr="003015C7">
        <w:rPr>
          <w:lang w:eastAsia="en-US"/>
        </w:rPr>
        <w:t xml:space="preserve">  dépend de la susceptibilité individuelle aux toxines, la quantité d’aliment et de toxine ingérées, et l’état de santé générale de la victime </w:t>
      </w:r>
      <w:r w:rsidRPr="003015C7">
        <w:t>(</w:t>
      </w:r>
      <w:r w:rsidRPr="003015C7">
        <w:rPr>
          <w:color w:val="0000FF"/>
        </w:rPr>
        <w:t>Redman, 2000</w:t>
      </w:r>
      <w:r w:rsidRPr="003015C7">
        <w:t>)</w:t>
      </w:r>
      <w:r w:rsidRPr="003015C7">
        <w:rPr>
          <w:lang w:eastAsia="en-US"/>
        </w:rPr>
        <w:t>.</w:t>
      </w:r>
    </w:p>
    <w:p w:rsidR="00723E07" w:rsidRPr="003015C7" w:rsidRDefault="00723E07" w:rsidP="00723E07">
      <w:pPr>
        <w:spacing w:before="120" w:after="120" w:line="360" w:lineRule="auto"/>
        <w:ind w:firstLine="539"/>
        <w:jc w:val="both"/>
        <w:rPr>
          <w:lang w:eastAsia="en-US"/>
        </w:rPr>
      </w:pPr>
      <w:r w:rsidRPr="003015C7">
        <w:rPr>
          <w:iCs/>
          <w:color w:val="000000"/>
        </w:rPr>
        <w:t>L’ingestion de 0.2 à 1</w:t>
      </w:r>
      <w:r w:rsidRPr="003015C7">
        <w:rPr>
          <w:lang w:eastAsia="en-US"/>
        </w:rPr>
        <w:t>µ</w:t>
      </w:r>
      <w:r w:rsidRPr="003015C7">
        <w:rPr>
          <w:iCs/>
          <w:color w:val="000000"/>
        </w:rPr>
        <w:t>g d’enterotoxines des staphylocoques secrétées par approximativement 10</w:t>
      </w:r>
      <w:r w:rsidRPr="003015C7">
        <w:rPr>
          <w:iCs/>
          <w:color w:val="000000"/>
          <w:vertAlign w:val="superscript"/>
        </w:rPr>
        <w:t>6</w:t>
      </w:r>
      <w:r w:rsidRPr="003015C7">
        <w:rPr>
          <w:iCs/>
          <w:color w:val="000000"/>
        </w:rPr>
        <w:t xml:space="preserve"> germes de </w:t>
      </w:r>
      <w:r w:rsidRPr="003015C7">
        <w:rPr>
          <w:i/>
          <w:iCs/>
          <w:color w:val="000000"/>
        </w:rPr>
        <w:t xml:space="preserve">S. aureus </w:t>
      </w:r>
      <w:r w:rsidRPr="003015C7">
        <w:rPr>
          <w:iCs/>
          <w:color w:val="000000"/>
        </w:rPr>
        <w:t xml:space="preserve">sont suffisants pour déclencher les symptômes décrits précédemment </w:t>
      </w:r>
      <w:r w:rsidRPr="001C60BB">
        <w:rPr>
          <w:iCs/>
          <w:color w:val="0000FF"/>
        </w:rPr>
        <w:t>(</w:t>
      </w:r>
      <w:r w:rsidRPr="003015C7">
        <w:rPr>
          <w:iCs/>
          <w:color w:val="0000FF"/>
        </w:rPr>
        <w:t xml:space="preserve">Le loir </w:t>
      </w:r>
      <w:r w:rsidRPr="001C60BB">
        <w:rPr>
          <w:i/>
          <w:color w:val="0000FF"/>
        </w:rPr>
        <w:t>et al</w:t>
      </w:r>
      <w:r w:rsidRPr="001C60BB">
        <w:rPr>
          <w:iCs/>
          <w:color w:val="0000FF"/>
        </w:rPr>
        <w:t xml:space="preserve">., </w:t>
      </w:r>
      <w:r w:rsidRPr="003015C7">
        <w:rPr>
          <w:iCs/>
          <w:color w:val="0000FF"/>
        </w:rPr>
        <w:t>2003</w:t>
      </w:r>
      <w:r w:rsidRPr="001C60BB">
        <w:rPr>
          <w:iCs/>
          <w:color w:val="0000FF"/>
        </w:rPr>
        <w:t>)</w:t>
      </w:r>
      <w:r w:rsidRPr="003015C7">
        <w:rPr>
          <w:iCs/>
          <w:color w:val="000000"/>
        </w:rPr>
        <w:t>.</w:t>
      </w:r>
      <w:r w:rsidRPr="003015C7">
        <w:rPr>
          <w:lang w:eastAsia="en-US"/>
        </w:rPr>
        <w:t xml:space="preserve"> </w:t>
      </w:r>
    </w:p>
    <w:p w:rsidR="00723E07" w:rsidRPr="003015C7" w:rsidRDefault="00723E07" w:rsidP="00723E07">
      <w:pPr>
        <w:tabs>
          <w:tab w:val="left" w:pos="567"/>
        </w:tabs>
        <w:spacing w:before="120" w:after="120" w:line="360" w:lineRule="auto"/>
        <w:jc w:val="both"/>
        <w:rPr>
          <w:b/>
          <w:color w:val="FF0000"/>
          <w:lang w:eastAsia="en-US"/>
        </w:rPr>
      </w:pPr>
      <w:r>
        <w:rPr>
          <w:b/>
          <w:bCs/>
          <w:sz w:val="22"/>
          <w:szCs w:val="22"/>
        </w:rPr>
        <w:tab/>
      </w:r>
      <w:r w:rsidRPr="00784C0B">
        <w:rPr>
          <w:b/>
          <w:bCs/>
          <w:sz w:val="22"/>
          <w:szCs w:val="22"/>
        </w:rPr>
        <w:t>II.2.3</w:t>
      </w:r>
      <w:r w:rsidRPr="0022738B">
        <w:rPr>
          <w:b/>
          <w:bCs/>
          <w:sz w:val="22"/>
          <w:szCs w:val="22"/>
        </w:rPr>
        <w:t xml:space="preserve">. </w:t>
      </w:r>
      <w:r w:rsidRPr="0022738B">
        <w:rPr>
          <w:b/>
          <w:lang w:eastAsia="en-US"/>
        </w:rPr>
        <w:t>Les aliments contaminés</w:t>
      </w:r>
    </w:p>
    <w:p w:rsidR="00723E07" w:rsidRPr="003015C7" w:rsidRDefault="00723E07" w:rsidP="00723E07">
      <w:pPr>
        <w:spacing w:before="120" w:after="120" w:line="360" w:lineRule="auto"/>
        <w:ind w:firstLine="540"/>
        <w:jc w:val="both"/>
        <w:rPr>
          <w:color w:val="000000"/>
        </w:rPr>
      </w:pPr>
      <w:r w:rsidRPr="003015C7">
        <w:rPr>
          <w:lang w:eastAsia="en-US"/>
        </w:rPr>
        <w:t>Les aliments généralement soupçonnés dans les intoxications alimentaires aux staphylocoques sont les viandes et les produits carnés </w:t>
      </w:r>
      <w:r w:rsidRPr="003015C7">
        <w:rPr>
          <w:color w:val="000000"/>
        </w:rPr>
        <w:t xml:space="preserve">(incluant les saucisses fermentées) </w:t>
      </w:r>
      <w:r w:rsidRPr="003015C7">
        <w:rPr>
          <w:lang w:eastAsia="en-US"/>
        </w:rPr>
        <w:t>; volaille et ovoproduits ; thon ; macaroni </w:t>
      </w:r>
      <w:r w:rsidRPr="001C60BB">
        <w:rPr>
          <w:color w:val="0000FF"/>
        </w:rPr>
        <w:t>(</w:t>
      </w:r>
      <w:r w:rsidRPr="003015C7">
        <w:rPr>
          <w:color w:val="0000FF"/>
        </w:rPr>
        <w:t>Floret, 2001</w:t>
      </w:r>
      <w:r w:rsidRPr="001C60BB">
        <w:rPr>
          <w:color w:val="0000FF"/>
        </w:rPr>
        <w:t>)</w:t>
      </w:r>
      <w:r w:rsidRPr="003015C7">
        <w:rPr>
          <w:color w:val="000000"/>
        </w:rPr>
        <w:t xml:space="preserve">. </w:t>
      </w:r>
    </w:p>
    <w:p w:rsidR="00723E07" w:rsidRPr="003015C7" w:rsidRDefault="00723E07" w:rsidP="00723E07">
      <w:pPr>
        <w:spacing w:before="120" w:after="120" w:line="360" w:lineRule="auto"/>
        <w:ind w:firstLine="539"/>
        <w:jc w:val="both"/>
        <w:rPr>
          <w:lang w:eastAsia="en-US"/>
        </w:rPr>
      </w:pPr>
      <w:r w:rsidRPr="003015C7">
        <w:rPr>
          <w:color w:val="000000"/>
        </w:rPr>
        <w:t>E</w:t>
      </w:r>
      <w:r w:rsidRPr="003015C7">
        <w:rPr>
          <w:lang w:eastAsia="en-US"/>
        </w:rPr>
        <w:t>tant donné que cette bactérie est f</w:t>
      </w:r>
      <w:r w:rsidRPr="003015C7">
        <w:t xml:space="preserve">réquente sur la peau et les mains, elle contamine souvent les aliments non cuits où elle peut proliférer si la "chaîne du froid" n'est pas respectée : pâtisserie, mayonnaises, charcuteries, crevettes, filet américain, salades de pommes de terre, </w:t>
      </w:r>
      <w:r w:rsidRPr="003015C7">
        <w:rPr>
          <w:lang w:eastAsia="en-US"/>
        </w:rPr>
        <w:t xml:space="preserve">sandwiches et lait </w:t>
      </w:r>
      <w:r w:rsidRPr="00442743">
        <w:rPr>
          <w:color w:val="0000FF"/>
        </w:rPr>
        <w:t>(</w:t>
      </w:r>
      <w:r w:rsidRPr="003015C7">
        <w:rPr>
          <w:color w:val="0000FF"/>
        </w:rPr>
        <w:t>Delmee, 2003</w:t>
      </w:r>
      <w:r w:rsidRPr="00442743">
        <w:rPr>
          <w:color w:val="0000FF"/>
        </w:rPr>
        <w:t>)</w:t>
      </w:r>
      <w:r w:rsidRPr="003015C7">
        <w:rPr>
          <w:lang w:eastAsia="en-US"/>
        </w:rPr>
        <w:t xml:space="preserve">. </w:t>
      </w:r>
    </w:p>
    <w:p w:rsidR="00723E07" w:rsidRPr="003015C7" w:rsidRDefault="00723E07" w:rsidP="00723E07">
      <w:pPr>
        <w:spacing w:before="120" w:after="120" w:line="360" w:lineRule="auto"/>
        <w:ind w:firstLine="539"/>
        <w:jc w:val="both"/>
        <w:rPr>
          <w:lang w:eastAsia="en-US"/>
        </w:rPr>
      </w:pPr>
      <w:r w:rsidRPr="003015C7">
        <w:rPr>
          <w:lang w:eastAsia="en-US"/>
        </w:rPr>
        <w:t xml:space="preserve">Les aliments qui subissent des manipulations considérables durant la préparation et qui sont entretenus à des températures légèrement élevées après la préparation sont aussi impliqués dans les intoxications alimentaires dues aux staphylocoques </w:t>
      </w:r>
      <w:r w:rsidRPr="00442743">
        <w:rPr>
          <w:color w:val="0000FF"/>
        </w:rPr>
        <w:t>(</w:t>
      </w:r>
      <w:r w:rsidRPr="003015C7">
        <w:rPr>
          <w:color w:val="0000FF"/>
        </w:rPr>
        <w:t>Redman, 2000</w:t>
      </w:r>
      <w:r w:rsidRPr="00442743">
        <w:rPr>
          <w:color w:val="0000FF"/>
        </w:rPr>
        <w:t>)</w:t>
      </w:r>
      <w:r w:rsidRPr="003015C7">
        <w:rPr>
          <w:lang w:eastAsia="en-US"/>
        </w:rPr>
        <w:t>.</w:t>
      </w:r>
      <w:r w:rsidRPr="003015C7">
        <w:t xml:space="preserve"> </w:t>
      </w:r>
    </w:p>
    <w:p w:rsidR="00723E07" w:rsidRPr="003015C7" w:rsidRDefault="00723E07" w:rsidP="00723E07">
      <w:pPr>
        <w:spacing w:before="120" w:after="120" w:line="360" w:lineRule="auto"/>
        <w:ind w:firstLine="539"/>
        <w:jc w:val="both"/>
        <w:rPr>
          <w:lang w:eastAsia="en-US"/>
        </w:rPr>
      </w:pPr>
      <w:r w:rsidRPr="003015C7">
        <w:rPr>
          <w:lang w:eastAsia="en-US"/>
        </w:rPr>
        <w:t xml:space="preserve">Les staphylocoques existent dans l’air, la poussière, l’eau, le lait, l’humain et l’animal. L’homme et l’animal en sont le principal réservoir car ces bactéries sont présentes dans le passage nasal, la gorge, sur les cheveux et la peau de 50% ou de la plupart des individus sains </w:t>
      </w:r>
      <w:r w:rsidRPr="00442743">
        <w:rPr>
          <w:color w:val="0000FF"/>
        </w:rPr>
        <w:t>(</w:t>
      </w:r>
      <w:r w:rsidRPr="003015C7">
        <w:rPr>
          <w:color w:val="0000FF"/>
        </w:rPr>
        <w:t xml:space="preserve">Damm </w:t>
      </w:r>
      <w:r w:rsidRPr="003015C7">
        <w:rPr>
          <w:i/>
          <w:iCs/>
          <w:color w:val="0000FF"/>
        </w:rPr>
        <w:t>et al</w:t>
      </w:r>
      <w:r w:rsidRPr="003015C7">
        <w:rPr>
          <w:i/>
          <w:color w:val="0000FF"/>
        </w:rPr>
        <w:t>.,</w:t>
      </w:r>
      <w:r w:rsidRPr="003015C7">
        <w:rPr>
          <w:color w:val="0000FF"/>
        </w:rPr>
        <w:t xml:space="preserve"> 2004</w:t>
      </w:r>
      <w:r w:rsidRPr="00442743">
        <w:rPr>
          <w:color w:val="0000FF"/>
        </w:rPr>
        <w:t>)</w:t>
      </w:r>
      <w:r w:rsidRPr="003015C7">
        <w:rPr>
          <w:lang w:eastAsia="en-US"/>
        </w:rPr>
        <w:t xml:space="preserve">. </w:t>
      </w:r>
    </w:p>
    <w:p w:rsidR="00723E07" w:rsidRPr="003015C7" w:rsidRDefault="00723E07" w:rsidP="00723E07">
      <w:pPr>
        <w:spacing w:before="120" w:after="120" w:line="360" w:lineRule="auto"/>
        <w:ind w:firstLine="540"/>
        <w:jc w:val="both"/>
        <w:rPr>
          <w:lang w:eastAsia="en-US"/>
        </w:rPr>
      </w:pPr>
      <w:r w:rsidRPr="003015C7">
        <w:rPr>
          <w:lang w:eastAsia="en-US"/>
        </w:rPr>
        <w:t>Généralement, L’intoxication alimentaire des humains est causée parce que l’aliment est entreposé soit à des températures suffisamment élevées (</w:t>
      </w:r>
      <w:smartTag w:uri="urn:schemas-microsoft-com:office:smarttags" w:element="metricconverter">
        <w:smartTagPr>
          <w:attr w:name="ProductID" w:val="60ﾰC"/>
        </w:smartTagPr>
        <w:r w:rsidRPr="003015C7">
          <w:rPr>
            <w:lang w:eastAsia="en-US"/>
          </w:rPr>
          <w:t>60°C</w:t>
        </w:r>
      </w:smartTag>
      <w:r w:rsidRPr="003015C7">
        <w:rPr>
          <w:lang w:eastAsia="en-US"/>
        </w:rPr>
        <w:t xml:space="preserve"> et plus) soit suffisamment basses (</w:t>
      </w:r>
      <w:smartTag w:uri="urn:schemas-microsoft-com:office:smarttags" w:element="metricconverter">
        <w:smartTagPr>
          <w:attr w:name="ProductID" w:val="7.2ﾰC"/>
        </w:smartTagPr>
        <w:r w:rsidRPr="003015C7">
          <w:rPr>
            <w:lang w:eastAsia="en-US"/>
          </w:rPr>
          <w:t>7.2°C</w:t>
        </w:r>
      </w:smartTag>
      <w:r w:rsidRPr="003015C7">
        <w:rPr>
          <w:lang w:eastAsia="en-US"/>
        </w:rPr>
        <w:t xml:space="preserve"> et moins) </w:t>
      </w:r>
      <w:r w:rsidRPr="00442743">
        <w:rPr>
          <w:color w:val="0000FF"/>
        </w:rPr>
        <w:t>(</w:t>
      </w:r>
      <w:r w:rsidRPr="003015C7">
        <w:rPr>
          <w:color w:val="0000FF"/>
        </w:rPr>
        <w:t>Redman, 2000</w:t>
      </w:r>
      <w:r w:rsidRPr="00442743">
        <w:rPr>
          <w:color w:val="0000FF"/>
        </w:rPr>
        <w:t>)</w:t>
      </w:r>
      <w:r w:rsidRPr="003015C7">
        <w:rPr>
          <w:lang w:eastAsia="en-US"/>
        </w:rPr>
        <w:t xml:space="preserve">. </w:t>
      </w:r>
    </w:p>
    <w:p w:rsidR="00723E07" w:rsidRDefault="00723E07" w:rsidP="00723E07">
      <w:pPr>
        <w:spacing w:before="120" w:after="120" w:line="360" w:lineRule="auto"/>
        <w:ind w:firstLine="540"/>
        <w:jc w:val="both"/>
        <w:rPr>
          <w:b/>
          <w:bCs/>
          <w:i/>
          <w:iCs/>
        </w:rPr>
      </w:pPr>
      <w:r w:rsidRPr="00166225">
        <w:rPr>
          <w:b/>
          <w:bCs/>
        </w:rPr>
        <w:lastRenderedPageBreak/>
        <w:t>II.</w:t>
      </w:r>
      <w:r>
        <w:rPr>
          <w:b/>
          <w:bCs/>
        </w:rPr>
        <w:t>3</w:t>
      </w:r>
      <w:r w:rsidRPr="0022738B">
        <w:rPr>
          <w:b/>
          <w:bCs/>
        </w:rPr>
        <w:t>.</w:t>
      </w:r>
      <w:r>
        <w:rPr>
          <w:b/>
          <w:bCs/>
        </w:rPr>
        <w:t xml:space="preserve"> </w:t>
      </w:r>
      <w:r>
        <w:rPr>
          <w:b/>
          <w:bCs/>
          <w:i/>
          <w:iCs/>
        </w:rPr>
        <w:t>Shigella</w:t>
      </w:r>
    </w:p>
    <w:p w:rsidR="00723E07" w:rsidRDefault="00723E07" w:rsidP="00723E07">
      <w:pPr>
        <w:spacing w:before="120" w:after="120" w:line="360" w:lineRule="auto"/>
        <w:ind w:firstLine="540"/>
        <w:jc w:val="both"/>
        <w:rPr>
          <w:b/>
          <w:bCs/>
          <w:i/>
          <w:iCs/>
        </w:rPr>
      </w:pPr>
      <w:r w:rsidRPr="0022738B">
        <w:rPr>
          <w:b/>
          <w:bCs/>
        </w:rPr>
        <w:t>II</w:t>
      </w:r>
      <w:r w:rsidRPr="00166225">
        <w:rPr>
          <w:b/>
          <w:bCs/>
        </w:rPr>
        <w:t>.</w:t>
      </w:r>
      <w:r>
        <w:rPr>
          <w:b/>
          <w:bCs/>
        </w:rPr>
        <w:t>3</w:t>
      </w:r>
      <w:r w:rsidRPr="0022738B">
        <w:rPr>
          <w:b/>
          <w:bCs/>
        </w:rPr>
        <w:t>.</w:t>
      </w:r>
      <w:r>
        <w:rPr>
          <w:b/>
          <w:bCs/>
        </w:rPr>
        <w:t>1.</w:t>
      </w:r>
      <w:r w:rsidRPr="0022738B">
        <w:rPr>
          <w:b/>
          <w:bCs/>
        </w:rPr>
        <w:t xml:space="preserve"> Biologie de </w:t>
      </w:r>
      <w:r w:rsidRPr="0022738B">
        <w:rPr>
          <w:b/>
          <w:bCs/>
          <w:i/>
          <w:iCs/>
        </w:rPr>
        <w:t>Shigella</w:t>
      </w:r>
    </w:p>
    <w:p w:rsidR="00723E07" w:rsidRPr="0022738B" w:rsidRDefault="00723E07" w:rsidP="00723E07">
      <w:pPr>
        <w:autoSpaceDE w:val="0"/>
        <w:autoSpaceDN w:val="0"/>
        <w:adjustRightInd w:val="0"/>
        <w:spacing w:before="120" w:after="120" w:line="360" w:lineRule="auto"/>
        <w:ind w:firstLine="540"/>
        <w:jc w:val="both"/>
        <w:rPr>
          <w:b/>
          <w:bCs/>
        </w:rPr>
      </w:pPr>
      <w:r w:rsidRPr="003015C7">
        <w:t xml:space="preserve">Les </w:t>
      </w:r>
      <w:r w:rsidRPr="003015C7">
        <w:rPr>
          <w:i/>
          <w:iCs/>
        </w:rPr>
        <w:t>Shigella</w:t>
      </w:r>
      <w:r w:rsidRPr="003015C7">
        <w:t xml:space="preserve"> sont des parasites intestinaux rencontrés seulement chez l'homme. Celui-ci les élimine par ses selles et les disperse dans le milieu extérieur (sol, eau) où elles ne survivent pas longtemps. Nommé </w:t>
      </w:r>
      <w:r w:rsidRPr="003015C7">
        <w:rPr>
          <w:i/>
          <w:iCs/>
        </w:rPr>
        <w:t>Shigella</w:t>
      </w:r>
      <w:r w:rsidRPr="003015C7">
        <w:t xml:space="preserve"> en l'honneur du bactériologiste japonais Kiyoshi Shiga qui a découvert le bacille de la dysenterie en </w:t>
      </w:r>
      <w:r w:rsidRPr="00072665">
        <w:t>1897</w:t>
      </w:r>
      <w:r w:rsidRPr="0022738B">
        <w:rPr>
          <w:b/>
          <w:bCs/>
        </w:rPr>
        <w:t xml:space="preserve">. </w:t>
      </w:r>
    </w:p>
    <w:p w:rsidR="00723E07" w:rsidRPr="003015C7" w:rsidRDefault="00723E07" w:rsidP="00723E07">
      <w:pPr>
        <w:autoSpaceDE w:val="0"/>
        <w:autoSpaceDN w:val="0"/>
        <w:adjustRightInd w:val="0"/>
        <w:spacing w:before="120" w:after="120" w:line="360" w:lineRule="auto"/>
        <w:ind w:firstLine="708"/>
        <w:jc w:val="both"/>
        <w:rPr>
          <w:b/>
          <w:bCs/>
          <w:color w:val="FF0000"/>
        </w:rPr>
      </w:pPr>
      <w:r w:rsidRPr="0022738B">
        <w:rPr>
          <w:b/>
          <w:bCs/>
        </w:rPr>
        <w:t>II</w:t>
      </w:r>
      <w:r w:rsidRPr="00166225">
        <w:rPr>
          <w:b/>
          <w:bCs/>
        </w:rPr>
        <w:t>.</w:t>
      </w:r>
      <w:r>
        <w:rPr>
          <w:b/>
          <w:bCs/>
        </w:rPr>
        <w:t>3</w:t>
      </w:r>
      <w:r w:rsidRPr="0022738B">
        <w:rPr>
          <w:b/>
          <w:bCs/>
        </w:rPr>
        <w:t>.</w:t>
      </w:r>
      <w:r>
        <w:rPr>
          <w:b/>
          <w:bCs/>
        </w:rPr>
        <w:t>2.</w:t>
      </w:r>
      <w:r w:rsidRPr="0022738B">
        <w:rPr>
          <w:b/>
          <w:bCs/>
        </w:rPr>
        <w:t xml:space="preserve"> Caractères morphologiques et biochimiques</w:t>
      </w:r>
    </w:p>
    <w:p w:rsidR="00723E07" w:rsidRPr="003015C7" w:rsidRDefault="00723E07" w:rsidP="00723E07">
      <w:pPr>
        <w:tabs>
          <w:tab w:val="left" w:pos="180"/>
        </w:tabs>
        <w:autoSpaceDE w:val="0"/>
        <w:autoSpaceDN w:val="0"/>
        <w:adjustRightInd w:val="0"/>
        <w:spacing w:before="120" w:after="120" w:line="360" w:lineRule="auto"/>
        <w:jc w:val="both"/>
      </w:pPr>
      <w:r w:rsidRPr="003015C7">
        <w:tab/>
      </w:r>
      <w:r w:rsidRPr="003015C7">
        <w:tab/>
        <w:t xml:space="preserve">Les Shigelles sont des bâtonnets immobiles, courts et gram -, de 2 à 3 µm de long sur 0.5 à 0.7 de large, mais animés de mouvements pendulaires. Leur température optimale de croissance est de </w:t>
      </w:r>
      <w:smartTag w:uri="urn:schemas-microsoft-com:office:smarttags" w:element="metricconverter">
        <w:smartTagPr>
          <w:attr w:name="ProductID" w:val="37ﾰC"/>
        </w:smartTagPr>
        <w:r w:rsidRPr="003015C7">
          <w:t>37°C</w:t>
        </w:r>
      </w:smartTag>
      <w:r w:rsidRPr="003015C7">
        <w:t xml:space="preserve"> en milieu aérobie. On peut diviser les Shigelles en 4 groupes sérologiques principaux (espèces), selon leurs antigènes somatiques (O):</w:t>
      </w:r>
    </w:p>
    <w:p w:rsidR="00723E07" w:rsidRPr="003015C7" w:rsidRDefault="00723E07" w:rsidP="00723E07">
      <w:pPr>
        <w:tabs>
          <w:tab w:val="left" w:pos="180"/>
        </w:tabs>
        <w:autoSpaceDE w:val="0"/>
        <w:autoSpaceDN w:val="0"/>
        <w:adjustRightInd w:val="0"/>
        <w:spacing w:before="120" w:after="120" w:line="360" w:lineRule="auto"/>
        <w:jc w:val="both"/>
      </w:pPr>
      <w:r w:rsidRPr="003015C7">
        <w:tab/>
      </w:r>
      <w:r w:rsidRPr="003015C7">
        <w:tab/>
        <w:t xml:space="preserve">Le groupe A comprend </w:t>
      </w:r>
      <w:r w:rsidRPr="003015C7">
        <w:rPr>
          <w:i/>
          <w:iCs/>
        </w:rPr>
        <w:t>S. dysenteriae</w:t>
      </w:r>
      <w:r w:rsidRPr="003015C7">
        <w:t xml:space="preserve"> (ou Shiga bacillus) (10 sérotypes). Ce germe est répandu en Amérique Latine, en Asie et en Afrique. </w:t>
      </w:r>
    </w:p>
    <w:p w:rsidR="00723E07" w:rsidRPr="003015C7" w:rsidRDefault="00723E07" w:rsidP="00723E07">
      <w:pPr>
        <w:tabs>
          <w:tab w:val="left" w:pos="180"/>
        </w:tabs>
        <w:autoSpaceDE w:val="0"/>
        <w:autoSpaceDN w:val="0"/>
        <w:adjustRightInd w:val="0"/>
        <w:spacing w:before="120" w:after="120" w:line="360" w:lineRule="auto"/>
        <w:jc w:val="both"/>
      </w:pPr>
      <w:r w:rsidRPr="003015C7">
        <w:tab/>
      </w:r>
      <w:r w:rsidRPr="003015C7">
        <w:tab/>
        <w:t xml:space="preserve">Le groupe B est représenté par </w:t>
      </w:r>
      <w:r w:rsidRPr="003015C7">
        <w:rPr>
          <w:i/>
          <w:iCs/>
        </w:rPr>
        <w:t>S. flexneri</w:t>
      </w:r>
      <w:r w:rsidRPr="003015C7">
        <w:t xml:space="preserve"> (8 sérotypes), 414 malades aux USA entre 1961 et 1980) ; maintenant, </w:t>
      </w:r>
      <w:r w:rsidRPr="003015C7">
        <w:rPr>
          <w:i/>
          <w:iCs/>
        </w:rPr>
        <w:t>S. flexneri</w:t>
      </w:r>
      <w:r w:rsidRPr="003015C7">
        <w:t xml:space="preserve"> (sérotype 2a) domine </w:t>
      </w:r>
      <w:r w:rsidRPr="003015C7">
        <w:rPr>
          <w:i/>
          <w:iCs/>
        </w:rPr>
        <w:t>S. sonnei</w:t>
      </w:r>
      <w:r w:rsidRPr="003015C7">
        <w:t xml:space="preserve"> en France. </w:t>
      </w:r>
    </w:p>
    <w:p w:rsidR="00723E07" w:rsidRPr="003015C7" w:rsidRDefault="00723E07" w:rsidP="00723E07">
      <w:pPr>
        <w:tabs>
          <w:tab w:val="left" w:pos="180"/>
        </w:tabs>
        <w:autoSpaceDE w:val="0"/>
        <w:autoSpaceDN w:val="0"/>
        <w:adjustRightInd w:val="0"/>
        <w:spacing w:before="120" w:after="120" w:line="360" w:lineRule="auto"/>
        <w:jc w:val="both"/>
      </w:pPr>
      <w:r w:rsidRPr="003015C7">
        <w:t xml:space="preserve">Les souches du groupe C sont exceptionnelles aux Etats Unis et en France. L'espèce type est </w:t>
      </w:r>
      <w:r w:rsidRPr="004945A3">
        <w:rPr>
          <w:i/>
          <w:iCs/>
        </w:rPr>
        <w:t>S. boydi</w:t>
      </w:r>
      <w:r w:rsidRPr="003015C7">
        <w:t xml:space="preserve"> (15 sérotypes) </w:t>
      </w:r>
    </w:p>
    <w:p w:rsidR="00723E07" w:rsidRPr="003015C7" w:rsidRDefault="00723E07" w:rsidP="00723E07">
      <w:pPr>
        <w:tabs>
          <w:tab w:val="left" w:pos="180"/>
        </w:tabs>
        <w:autoSpaceDE w:val="0"/>
        <w:autoSpaceDN w:val="0"/>
        <w:adjustRightInd w:val="0"/>
        <w:spacing w:before="120" w:after="120" w:line="360" w:lineRule="auto"/>
        <w:jc w:val="both"/>
      </w:pPr>
      <w:r w:rsidRPr="003015C7">
        <w:tab/>
      </w:r>
      <w:r w:rsidRPr="003015C7">
        <w:tab/>
        <w:t xml:space="preserve">Le groupe D comprend </w:t>
      </w:r>
      <w:r w:rsidRPr="003015C7">
        <w:rPr>
          <w:i/>
          <w:iCs/>
        </w:rPr>
        <w:t xml:space="preserve">S. sonnei </w:t>
      </w:r>
      <w:r w:rsidRPr="003015C7">
        <w:t xml:space="preserve">(1 sérotype) : c'est le principal responsable de la dysenterie bacillaire aux Etats Unis et en France (5593 cas entre 1961 et 1980, soit </w:t>
      </w:r>
      <w:r>
        <w:t xml:space="preserve">  </w:t>
      </w:r>
      <w:r w:rsidRPr="003015C7">
        <w:t xml:space="preserve">76 % des cas de dysenterie bacillaire). </w:t>
      </w:r>
    </w:p>
    <w:p w:rsidR="00723E07" w:rsidRDefault="00723E07" w:rsidP="00723E07">
      <w:pPr>
        <w:tabs>
          <w:tab w:val="left" w:pos="180"/>
        </w:tabs>
        <w:autoSpaceDE w:val="0"/>
        <w:autoSpaceDN w:val="0"/>
        <w:adjustRightInd w:val="0"/>
        <w:spacing w:before="120" w:after="120" w:line="360" w:lineRule="auto"/>
        <w:jc w:val="both"/>
      </w:pPr>
      <w:r w:rsidRPr="003015C7">
        <w:tab/>
      </w:r>
      <w:r w:rsidRPr="003015C7">
        <w:tab/>
        <w:t xml:space="preserve">Les shigelles possèdent également l'antigène K de surface masquant l'antigène O qui peut se rencontrer dans tous les sous-groupes, sauf le D. Il est en général détruit par chauffage à </w:t>
      </w:r>
      <w:smartTag w:uri="urn:schemas-microsoft-com:office:smarttags" w:element="metricconverter">
        <w:r w:rsidRPr="003015C7">
          <w:t>100°C</w:t>
        </w:r>
      </w:smartTag>
      <w:r w:rsidRPr="003015C7">
        <w:t xml:space="preserve">. </w:t>
      </w:r>
    </w:p>
    <w:p w:rsidR="00723E07" w:rsidRDefault="00723E07" w:rsidP="00723E07">
      <w:pPr>
        <w:autoSpaceDE w:val="0"/>
        <w:autoSpaceDN w:val="0"/>
        <w:adjustRightInd w:val="0"/>
        <w:spacing w:before="120" w:after="120" w:line="360" w:lineRule="auto"/>
        <w:ind w:firstLine="708"/>
        <w:jc w:val="both"/>
        <w:rPr>
          <w:b/>
          <w:bCs/>
        </w:rPr>
      </w:pPr>
      <w:r w:rsidRPr="0022738B">
        <w:rPr>
          <w:b/>
          <w:bCs/>
        </w:rPr>
        <w:t>II</w:t>
      </w:r>
      <w:r w:rsidRPr="00166225">
        <w:rPr>
          <w:b/>
          <w:bCs/>
        </w:rPr>
        <w:t>.</w:t>
      </w:r>
      <w:r>
        <w:rPr>
          <w:b/>
          <w:bCs/>
        </w:rPr>
        <w:t>3</w:t>
      </w:r>
      <w:r w:rsidRPr="0022738B">
        <w:rPr>
          <w:b/>
          <w:bCs/>
        </w:rPr>
        <w:t>.</w:t>
      </w:r>
      <w:r>
        <w:rPr>
          <w:b/>
          <w:bCs/>
        </w:rPr>
        <w:t>3.</w:t>
      </w:r>
      <w:r w:rsidRPr="0022738B">
        <w:rPr>
          <w:b/>
          <w:bCs/>
        </w:rPr>
        <w:t xml:space="preserve"> Sources d'infection</w:t>
      </w:r>
    </w:p>
    <w:p w:rsidR="00723E07" w:rsidRPr="003015C7" w:rsidRDefault="00723E07" w:rsidP="00723E07">
      <w:pPr>
        <w:autoSpaceDE w:val="0"/>
        <w:autoSpaceDN w:val="0"/>
        <w:adjustRightInd w:val="0"/>
        <w:spacing w:before="120" w:after="120" w:line="360" w:lineRule="auto"/>
        <w:ind w:firstLine="708"/>
        <w:jc w:val="both"/>
      </w:pPr>
      <w:r w:rsidRPr="003015C7">
        <w:t xml:space="preserve">L'eau en est la source de contamination traditionnelle mais on voit de plus en plus souvent du lait, de la crème glacée, des salades de poulet, de pommes de terre ou de macaroni contaminés, thon émietté, crevettes décortiquées, produits carnés travaillés et produits de charcuterie. Ce sont néanmoins les salades et les produits de la mer qui sont les plus sensibles à cette bactérie. </w:t>
      </w:r>
    </w:p>
    <w:p w:rsidR="00723E07" w:rsidRPr="003015C7" w:rsidRDefault="00723E07" w:rsidP="00723E07">
      <w:pPr>
        <w:autoSpaceDE w:val="0"/>
        <w:autoSpaceDN w:val="0"/>
        <w:adjustRightInd w:val="0"/>
        <w:spacing w:before="120" w:after="120" w:line="360" w:lineRule="auto"/>
        <w:ind w:firstLine="708"/>
        <w:jc w:val="both"/>
      </w:pPr>
      <w:r w:rsidRPr="003015C7">
        <w:t xml:space="preserve">La mise en évidence des shigelles dans un aliment est délicate car les bactéries y survivent peu de temps. A l'époque actuelle, dans les pays développés, on observe </w:t>
      </w:r>
      <w:r w:rsidRPr="003015C7">
        <w:lastRenderedPageBreak/>
        <w:t xml:space="preserve">surtout la dysenterie sonnei liée au facteur alimentaire. </w:t>
      </w:r>
      <w:r w:rsidRPr="003015C7">
        <w:rPr>
          <w:i/>
          <w:iCs/>
        </w:rPr>
        <w:t>S. sonnei</w:t>
      </w:r>
      <w:r w:rsidRPr="003015C7">
        <w:t xml:space="preserve"> survit et se développe dans le lait et les produits laitiers.</w:t>
      </w:r>
    </w:p>
    <w:p w:rsidR="00723E07" w:rsidRPr="003015C7" w:rsidRDefault="00723E07" w:rsidP="00723E07">
      <w:pPr>
        <w:autoSpaceDE w:val="0"/>
        <w:autoSpaceDN w:val="0"/>
        <w:adjustRightInd w:val="0"/>
        <w:spacing w:before="120" w:after="120" w:line="360" w:lineRule="auto"/>
        <w:ind w:firstLine="709"/>
        <w:jc w:val="both"/>
        <w:rPr>
          <w:b/>
          <w:bCs/>
          <w:color w:val="FF0000"/>
        </w:rPr>
      </w:pPr>
      <w:r w:rsidRPr="0022738B">
        <w:rPr>
          <w:b/>
          <w:bCs/>
        </w:rPr>
        <w:t>II</w:t>
      </w:r>
      <w:r w:rsidRPr="00166225">
        <w:rPr>
          <w:b/>
          <w:bCs/>
        </w:rPr>
        <w:t>.</w:t>
      </w:r>
      <w:r>
        <w:rPr>
          <w:b/>
          <w:bCs/>
        </w:rPr>
        <w:t>3</w:t>
      </w:r>
      <w:r w:rsidRPr="0022738B">
        <w:rPr>
          <w:b/>
          <w:bCs/>
        </w:rPr>
        <w:t>.</w:t>
      </w:r>
      <w:r>
        <w:rPr>
          <w:b/>
          <w:bCs/>
        </w:rPr>
        <w:t>2</w:t>
      </w:r>
      <w:r w:rsidRPr="0022738B">
        <w:rPr>
          <w:b/>
          <w:bCs/>
        </w:rPr>
        <w:t xml:space="preserve"> des shigelles</w:t>
      </w:r>
    </w:p>
    <w:p w:rsidR="00723E07" w:rsidRPr="003015C7" w:rsidRDefault="00723E07" w:rsidP="00723E07">
      <w:pPr>
        <w:autoSpaceDE w:val="0"/>
        <w:autoSpaceDN w:val="0"/>
        <w:adjustRightInd w:val="0"/>
        <w:spacing w:before="120" w:after="120" w:line="360" w:lineRule="auto"/>
        <w:ind w:firstLine="709"/>
        <w:jc w:val="both"/>
      </w:pPr>
      <w:r w:rsidRPr="003015C7">
        <w:t xml:space="preserve">Pour établir un diagnostic définitif il faut isoler </w:t>
      </w:r>
      <w:r w:rsidRPr="003015C7">
        <w:rPr>
          <w:i/>
          <w:iCs/>
        </w:rPr>
        <w:t>Shigella</w:t>
      </w:r>
      <w:r w:rsidRPr="003015C7">
        <w:t xml:space="preserve"> dans les selles. Par ce que les shigelles ne vivent pas longtemps en dehors de l'organisme en présence d'autres bactéries.</w:t>
      </w:r>
    </w:p>
    <w:p w:rsidR="00723E07" w:rsidRPr="003015C7" w:rsidRDefault="00723E07" w:rsidP="00723E07">
      <w:pPr>
        <w:autoSpaceDE w:val="0"/>
        <w:autoSpaceDN w:val="0"/>
        <w:adjustRightInd w:val="0"/>
        <w:spacing w:before="120" w:after="120" w:line="360" w:lineRule="auto"/>
        <w:ind w:firstLine="708"/>
        <w:jc w:val="both"/>
      </w:pPr>
      <w:r w:rsidRPr="003015C7">
        <w:t>Les désordres et altérations cellulaires se situent essentiellement au niveau du côlon. Les shigelles doivent pénétrer dans les cellules épithéliales coliques de la muqueuse intestinale (gros intestin) pour se multiplier et provoquer la perturbation de l'absorption des éléments nutritifs et des liquides, entraînant de la diarrhée et des crampes abdominales. Les bacilles restent localisées au niveau du gros intestin, ils ne se disséminent pas dans l'organisme.</w:t>
      </w:r>
    </w:p>
    <w:p w:rsidR="00723E07" w:rsidRDefault="00723E07" w:rsidP="00723E07">
      <w:pPr>
        <w:autoSpaceDE w:val="0"/>
        <w:autoSpaceDN w:val="0"/>
        <w:adjustRightInd w:val="0"/>
        <w:spacing w:before="120" w:after="120" w:line="360" w:lineRule="auto"/>
        <w:ind w:firstLine="708"/>
        <w:jc w:val="both"/>
      </w:pPr>
      <w:r w:rsidRPr="003015C7">
        <w:t xml:space="preserve">De plus, les shigelles causent avec l'invasion, une ulcération de la muqueuse colique et du tissu conjonctif de soutien, ce qui explique la présence de sang dans les selles. </w:t>
      </w:r>
    </w:p>
    <w:p w:rsidR="00723E07" w:rsidRPr="003015C7" w:rsidRDefault="00723E07" w:rsidP="00723E07">
      <w:pPr>
        <w:autoSpaceDE w:val="0"/>
        <w:autoSpaceDN w:val="0"/>
        <w:adjustRightInd w:val="0"/>
        <w:spacing w:before="120" w:after="120" w:line="360" w:lineRule="auto"/>
        <w:ind w:firstLine="708"/>
        <w:jc w:val="both"/>
      </w:pPr>
      <w:r w:rsidRPr="003015C7">
        <w:t>Il y a donc premièrement contact de la bactérie invasive avec la muqueuse, puis dégénérescence locale de la bordure en brosse des cellules épithéliales c’est-à-dire digestion partielle du revêtement muqueux (glycocalyx) par les bactéries pathogènes ou par la flore autochtone.</w:t>
      </w:r>
    </w:p>
    <w:p w:rsidR="00723E07" w:rsidRPr="003015C7" w:rsidRDefault="00723E07" w:rsidP="00723E07">
      <w:pPr>
        <w:autoSpaceDE w:val="0"/>
        <w:autoSpaceDN w:val="0"/>
        <w:adjustRightInd w:val="0"/>
        <w:spacing w:before="120" w:after="120" w:line="360" w:lineRule="auto"/>
        <w:ind w:firstLine="708"/>
        <w:jc w:val="both"/>
      </w:pPr>
      <w:r w:rsidRPr="003015C7">
        <w:t xml:space="preserve"> La bactérie qui est ensuite englobée se retrouve emprisonnée à l'intérieur d'une vacuole d'endocytose dans le cytoplasme cellulaire ; elle peut digérer la membrane qui l'entoure, être libérée dans le cytoplasme des cellules adjacentes à travers les membranes latérales.</w:t>
      </w:r>
    </w:p>
    <w:p w:rsidR="00723E07" w:rsidRPr="003015C7" w:rsidRDefault="00723E07" w:rsidP="00723E07">
      <w:pPr>
        <w:autoSpaceDE w:val="0"/>
        <w:autoSpaceDN w:val="0"/>
        <w:adjustRightInd w:val="0"/>
        <w:spacing w:before="120" w:after="120" w:line="360" w:lineRule="auto"/>
        <w:ind w:firstLine="708"/>
        <w:jc w:val="both"/>
      </w:pPr>
      <w:r w:rsidRPr="003015C7">
        <w:t xml:space="preserve">Cette manifestation différencie les shigelloses des salmonelloses. Les shigelles sont beaucoup moins envahissantes que les salmonelles. </w:t>
      </w:r>
    </w:p>
    <w:p w:rsidR="00723E07" w:rsidRPr="003015C7" w:rsidRDefault="00723E07" w:rsidP="00723E07">
      <w:pPr>
        <w:autoSpaceDE w:val="0"/>
        <w:autoSpaceDN w:val="0"/>
        <w:adjustRightInd w:val="0"/>
        <w:spacing w:before="120" w:after="120" w:line="360" w:lineRule="auto"/>
        <w:ind w:firstLine="708"/>
        <w:jc w:val="both"/>
      </w:pPr>
      <w:r w:rsidRPr="0022738B">
        <w:rPr>
          <w:b/>
          <w:bCs/>
        </w:rPr>
        <w:t>II</w:t>
      </w:r>
      <w:r w:rsidRPr="00166225">
        <w:rPr>
          <w:b/>
          <w:bCs/>
        </w:rPr>
        <w:t>.</w:t>
      </w:r>
      <w:r>
        <w:rPr>
          <w:b/>
          <w:bCs/>
        </w:rPr>
        <w:t>3.3.</w:t>
      </w:r>
      <w:r w:rsidRPr="0022738B">
        <w:rPr>
          <w:b/>
          <w:bCs/>
        </w:rPr>
        <w:t xml:space="preserve"> </w:t>
      </w:r>
      <w:r w:rsidRPr="0022738B">
        <w:rPr>
          <w:b/>
          <w:lang w:eastAsia="en-US"/>
        </w:rPr>
        <w:t>Nature des toxines secrétées</w:t>
      </w:r>
    </w:p>
    <w:p w:rsidR="00723E07" w:rsidRPr="003015C7" w:rsidRDefault="00723E07" w:rsidP="00723E07">
      <w:pPr>
        <w:autoSpaceDE w:val="0"/>
        <w:autoSpaceDN w:val="0"/>
        <w:adjustRightInd w:val="0"/>
        <w:spacing w:before="120" w:after="120" w:line="360" w:lineRule="auto"/>
        <w:ind w:firstLine="708"/>
        <w:jc w:val="both"/>
      </w:pPr>
      <w:r w:rsidRPr="003015C7">
        <w:t xml:space="preserve">Toutes les shigelles possèdent une endotoxine glucido-lipido-polypeptidique.             </w:t>
      </w:r>
      <w:r w:rsidRPr="003015C7">
        <w:rPr>
          <w:i/>
          <w:iCs/>
        </w:rPr>
        <w:t>S. dysenteriae</w:t>
      </w:r>
      <w:r w:rsidRPr="003015C7">
        <w:t xml:space="preserve"> provoque le syndrome le plus sévère de la maladie car elle secrète une endotoxine glucido-lipido-protéique avec des propriétés neurotoxiques et entérotoxiques. Cette toxine est de nature glucido-lipido-protéique qui n'est autre que l'antigène O ; elle est soluble, thermolabile et a une action entérotrope. </w:t>
      </w:r>
    </w:p>
    <w:p w:rsidR="00723E07" w:rsidRPr="003015C7" w:rsidRDefault="00723E07" w:rsidP="00723E07">
      <w:pPr>
        <w:autoSpaceDE w:val="0"/>
        <w:autoSpaceDN w:val="0"/>
        <w:adjustRightInd w:val="0"/>
        <w:spacing w:before="120" w:after="120" w:line="360" w:lineRule="auto"/>
        <w:ind w:firstLine="708"/>
        <w:jc w:val="both"/>
      </w:pPr>
      <w:r w:rsidRPr="003015C7">
        <w:lastRenderedPageBreak/>
        <w:t xml:space="preserve">Des exotoxines de faible poids moléculaires, à activité cytoxique et entérotoxique sont produites par </w:t>
      </w:r>
      <w:r w:rsidRPr="003015C7">
        <w:rPr>
          <w:i/>
          <w:iCs/>
        </w:rPr>
        <w:t>S. sonnei</w:t>
      </w:r>
      <w:r w:rsidRPr="003015C7">
        <w:t xml:space="preserve"> et </w:t>
      </w:r>
      <w:r w:rsidRPr="003015C7">
        <w:rPr>
          <w:i/>
          <w:iCs/>
        </w:rPr>
        <w:t>S. flexneri</w:t>
      </w:r>
      <w:r w:rsidRPr="003015C7">
        <w:t xml:space="preserve">, c'est un poison vasculaire entraînant des lésions intestinales et nerveuses, possédant un pouvoir toxique élevé. Il existe des souches hybrides de </w:t>
      </w:r>
      <w:r w:rsidRPr="003015C7">
        <w:rPr>
          <w:i/>
          <w:iCs/>
        </w:rPr>
        <w:t>S. flexneri</w:t>
      </w:r>
      <w:r w:rsidRPr="003015C7">
        <w:t xml:space="preserve"> qui détiennent le pouvoir invasif mais sont incapables de se multiplier dans la muqueuse ; elles produisent une réaction inflammatoire transitoire dans les tissus infectés mais le processus infectieux n'évolue pas.</w:t>
      </w:r>
    </w:p>
    <w:p w:rsidR="00723E07" w:rsidRPr="003015C7" w:rsidRDefault="00723E07" w:rsidP="00723E07">
      <w:pPr>
        <w:autoSpaceDE w:val="0"/>
        <w:autoSpaceDN w:val="0"/>
        <w:adjustRightInd w:val="0"/>
        <w:spacing w:before="120" w:after="120" w:line="360" w:lineRule="auto"/>
        <w:jc w:val="both"/>
        <w:rPr>
          <w:b/>
          <w:bCs/>
          <w:color w:val="FF0000"/>
        </w:rPr>
      </w:pPr>
      <w:r w:rsidRPr="003015C7">
        <w:rPr>
          <w:color w:val="FF0000"/>
        </w:rPr>
        <w:t> </w:t>
      </w:r>
      <w:r>
        <w:rPr>
          <w:color w:val="FF0000"/>
        </w:rPr>
        <w:tab/>
      </w:r>
      <w:r w:rsidRPr="0022738B">
        <w:rPr>
          <w:b/>
          <w:bCs/>
        </w:rPr>
        <w:t>II</w:t>
      </w:r>
      <w:r w:rsidRPr="00166225">
        <w:rPr>
          <w:b/>
          <w:bCs/>
        </w:rPr>
        <w:t>.</w:t>
      </w:r>
      <w:r>
        <w:rPr>
          <w:b/>
          <w:bCs/>
        </w:rPr>
        <w:t>3.4.</w:t>
      </w:r>
      <w:r w:rsidRPr="0022738B">
        <w:rPr>
          <w:b/>
          <w:bCs/>
        </w:rPr>
        <w:t xml:space="preserve"> </w:t>
      </w:r>
      <w:r w:rsidRPr="003015C7">
        <w:rPr>
          <w:b/>
          <w:bCs/>
          <w:color w:val="FF0000"/>
        </w:rPr>
        <w:t xml:space="preserve"> </w:t>
      </w:r>
      <w:r w:rsidRPr="0022738B">
        <w:rPr>
          <w:b/>
          <w:bCs/>
        </w:rPr>
        <w:t>La dysenterie bacillaire</w:t>
      </w:r>
    </w:p>
    <w:p w:rsidR="00723E07" w:rsidRPr="003015C7" w:rsidRDefault="00723E07" w:rsidP="00723E07">
      <w:pPr>
        <w:autoSpaceDE w:val="0"/>
        <w:autoSpaceDN w:val="0"/>
        <w:adjustRightInd w:val="0"/>
        <w:spacing w:before="120" w:after="120" w:line="360" w:lineRule="auto"/>
        <w:ind w:firstLine="708"/>
        <w:jc w:val="both"/>
      </w:pPr>
      <w:r w:rsidRPr="003015C7">
        <w:t>Maladie infectieuse caractérisée par une inflammation ulcéreuse du gros intestin, et provoquant des évacuations sanguinolentes et de pus accompagnées de coliques violentes.</w:t>
      </w:r>
    </w:p>
    <w:p w:rsidR="00723E07" w:rsidRPr="003015C7" w:rsidRDefault="00723E07" w:rsidP="00723E07">
      <w:pPr>
        <w:autoSpaceDE w:val="0"/>
        <w:autoSpaceDN w:val="0"/>
        <w:adjustRightInd w:val="0"/>
        <w:spacing w:before="120" w:after="120" w:line="360" w:lineRule="auto"/>
        <w:ind w:firstLine="708"/>
        <w:jc w:val="both"/>
      </w:pPr>
      <w:r w:rsidRPr="003015C7">
        <w:t xml:space="preserve">La shigellose est une colite infectieuse caractérisée par une réaction inflammatoire aiguë des voies intestinales causée par </w:t>
      </w:r>
      <w:r w:rsidRPr="003015C7">
        <w:rPr>
          <w:i/>
          <w:iCs/>
        </w:rPr>
        <w:t>Shigella</w:t>
      </w:r>
      <w:r w:rsidRPr="003015C7">
        <w:t>. Elle est pathologiquement caractérisée par une inflammation de l'intestin, des diarrhées suraiguës (30 - 50 selles par jour) et des selles molles, fétides, liquides, glaireuses et sanglantes, accompagnés de troubles nerveux. Ces selles sont de plus riches en leucocytes et souvent en bacilles à Gram -.</w:t>
      </w:r>
    </w:p>
    <w:p w:rsidR="00723E07" w:rsidRPr="003015C7" w:rsidRDefault="00723E07" w:rsidP="00723E07">
      <w:pPr>
        <w:autoSpaceDE w:val="0"/>
        <w:autoSpaceDN w:val="0"/>
        <w:adjustRightInd w:val="0"/>
        <w:spacing w:before="120" w:after="120" w:line="360" w:lineRule="auto"/>
        <w:ind w:firstLine="708"/>
        <w:jc w:val="both"/>
      </w:pPr>
      <w:r w:rsidRPr="003015C7">
        <w:t xml:space="preserve">Les </w:t>
      </w:r>
      <w:r w:rsidRPr="003015C7">
        <w:rPr>
          <w:i/>
          <w:iCs/>
        </w:rPr>
        <w:t>Shigella</w:t>
      </w:r>
      <w:r w:rsidRPr="003015C7">
        <w:t xml:space="preserve"> sont pathogènes uniquement pour l'homme et les autres primates. Les humains constituent leur réservoir naturel. La période d'incubation varie de 12 heures à 7 jours (plus généralement 4 jours au plus).</w:t>
      </w:r>
    </w:p>
    <w:p w:rsidR="00723E07" w:rsidRPr="003015C7" w:rsidRDefault="00723E07" w:rsidP="00723E07">
      <w:pPr>
        <w:autoSpaceDE w:val="0"/>
        <w:autoSpaceDN w:val="0"/>
        <w:adjustRightInd w:val="0"/>
        <w:spacing w:before="120" w:after="120" w:line="360" w:lineRule="auto"/>
        <w:ind w:firstLine="708"/>
        <w:jc w:val="both"/>
      </w:pPr>
      <w:r w:rsidRPr="003015C7">
        <w:t>Les premiers symptômes sont la fièvre (39-40</w:t>
      </w:r>
      <w:r>
        <w:t xml:space="preserve"> </w:t>
      </w:r>
      <w:r w:rsidRPr="003015C7">
        <w:t>°C) (38-38.5</w:t>
      </w:r>
      <w:r>
        <w:t xml:space="preserve"> </w:t>
      </w:r>
      <w:r w:rsidRPr="003015C7">
        <w:t>°C selon "hygiène et technologie de la viande, accompagnée de douleurs, de crampes abdominales, de nausées et de vomissements. La diarrhée a lieu habituellement 48 heures après, et l</w:t>
      </w:r>
      <w:r>
        <w:t>a dysenterie, 2 jours plus tard.</w:t>
      </w:r>
      <w:r w:rsidRPr="003015C7">
        <w:t xml:space="preserve"> La durée de maladie est de 5 à 6 jours en moyenne, et en l'absence d'un traitement efficace, les convalescents restent porteurs de shigelles pendant plusieurs semaines.</w:t>
      </w:r>
    </w:p>
    <w:p w:rsidR="00723E07" w:rsidRPr="003015C7" w:rsidRDefault="00723E07" w:rsidP="00723E07">
      <w:pPr>
        <w:autoSpaceDE w:val="0"/>
        <w:autoSpaceDN w:val="0"/>
        <w:adjustRightInd w:val="0"/>
        <w:spacing w:before="120" w:after="120" w:line="360" w:lineRule="auto"/>
        <w:ind w:firstLine="708"/>
        <w:jc w:val="both"/>
      </w:pPr>
      <w:r w:rsidRPr="003015C7">
        <w:t xml:space="preserve">Dans les cas graves, les selles sont surtout composées de sang, de mucus et de pus, accompagnées de douleurs </w:t>
      </w:r>
      <w:r w:rsidRPr="003E092F">
        <w:t>abdominales vives, d’épreintes</w:t>
      </w:r>
      <w:r w:rsidRPr="003015C7">
        <w:t xml:space="preserve"> (coliques violentes précédant l'évacuation) et de ténesme (tension douloureuse du sphincter anal). La perte de liquide et d'électrolytes peut être relativement importante chez les enfants et les vieillards. Le retentissement sur l'état général est sévère avec déshydratation intense et hyperthermie. Dans ces cas, chez les jeunes enfants, la mort peut survenir.</w:t>
      </w:r>
    </w:p>
    <w:p w:rsidR="00723E07" w:rsidRPr="0022738B" w:rsidRDefault="00723E07" w:rsidP="00723E07">
      <w:pPr>
        <w:pStyle w:val="Titre3"/>
        <w:spacing w:before="120" w:after="120" w:line="360" w:lineRule="auto"/>
        <w:ind w:firstLine="708"/>
        <w:jc w:val="both"/>
        <w:rPr>
          <w:rFonts w:ascii="Times New Roman" w:hAnsi="Times New Roman" w:cs="Times New Roman"/>
          <w:color w:val="auto"/>
        </w:rPr>
      </w:pPr>
      <w:r w:rsidRPr="0022360F">
        <w:rPr>
          <w:color w:val="auto"/>
        </w:rPr>
        <w:lastRenderedPageBreak/>
        <w:t>II.3.</w:t>
      </w:r>
      <w:r w:rsidRPr="0022360F">
        <w:rPr>
          <w:color w:val="auto"/>
          <w:sz w:val="28"/>
          <w:szCs w:val="28"/>
        </w:rPr>
        <w:t xml:space="preserve"> </w:t>
      </w:r>
      <w:r w:rsidRPr="0022360F">
        <w:rPr>
          <w:rFonts w:ascii="Times New Roman" w:hAnsi="Times New Roman" w:cs="Times New Roman"/>
          <w:color w:val="auto"/>
        </w:rPr>
        <w:t>Défenses</w:t>
      </w:r>
      <w:r w:rsidRPr="0022738B">
        <w:rPr>
          <w:rFonts w:ascii="Times New Roman" w:hAnsi="Times New Roman" w:cs="Times New Roman"/>
          <w:color w:val="auto"/>
        </w:rPr>
        <w:t xml:space="preserve"> de l’hôte vis-à-vis des pathogènes </w:t>
      </w:r>
    </w:p>
    <w:p w:rsidR="00723E07" w:rsidRDefault="00723E07" w:rsidP="00723E07">
      <w:pPr>
        <w:pStyle w:val="NormalWeb"/>
        <w:spacing w:before="120" w:beforeAutospacing="0" w:after="120" w:afterAutospacing="0" w:line="360" w:lineRule="auto"/>
        <w:ind w:firstLine="708"/>
        <w:jc w:val="both"/>
      </w:pPr>
      <w:r w:rsidRPr="003015C7">
        <w:t>Face à l’intrusion de micro-organismes pathogènes dans le tube digestif, le corps humain possède différents moyens de défenses. Plusieurs lignes de défenses chimiques, mécaniques et microbiologiques participent à limiter l’accès des pathogènes d’origines diverses (bactérienne, virale, parasitaire) à la muqueuse intestinale qui est la plus grande partie exposée à l’environnement externe avec 200 à 300 m</w:t>
      </w:r>
      <w:r w:rsidRPr="003015C7">
        <w:rPr>
          <w:vertAlign w:val="superscript"/>
        </w:rPr>
        <w:t>2</w:t>
      </w:r>
      <w:r w:rsidRPr="00B65FFC">
        <w:rPr>
          <w:color w:val="0000FF"/>
        </w:rPr>
        <w:t xml:space="preserve"> (Liévin-Le Moal et Servin, 2006). </w:t>
      </w:r>
    </w:p>
    <w:p w:rsidR="00723E07" w:rsidRPr="003015C7" w:rsidRDefault="00723E07" w:rsidP="00723E07">
      <w:pPr>
        <w:pStyle w:val="NormalWeb"/>
        <w:spacing w:before="120" w:beforeAutospacing="0" w:after="120" w:afterAutospacing="0" w:line="360" w:lineRule="auto"/>
        <w:ind w:firstLine="708"/>
        <w:jc w:val="both"/>
      </w:pPr>
      <w:r w:rsidRPr="003015C7">
        <w:t xml:space="preserve">Ainsi, pour lutter contre l’établissement infectieux d’entéropathogènes tout au long du tractus digestif, une première ligne de défense est assurée par des barrières chimiques telles que l’acidité gastrique, l’activité antimicrobienne d’enzymes pancréatiques, le lysozyme, les sécrétions intestinales et bactériennes. </w:t>
      </w:r>
    </w:p>
    <w:p w:rsidR="00723E07" w:rsidRPr="00B65FFC" w:rsidRDefault="00723E07" w:rsidP="00723E07">
      <w:pPr>
        <w:pStyle w:val="NormalWeb"/>
        <w:spacing w:before="120" w:beforeAutospacing="0" w:after="120" w:afterAutospacing="0" w:line="360" w:lineRule="auto"/>
        <w:ind w:firstLine="708"/>
        <w:jc w:val="both"/>
        <w:rPr>
          <w:color w:val="0000FF"/>
        </w:rPr>
      </w:pPr>
      <w:r w:rsidRPr="003015C7">
        <w:t xml:space="preserve">Les défenses antimicrobiennes au niveau intestinal sont présentées à </w:t>
      </w:r>
      <w:smartTag w:uri="urn:schemas-microsoft-com:office:smarttags" w:element="PersonName">
        <w:smartTagPr>
          <w:attr w:name="ProductID" w:val="la Figure"/>
        </w:smartTagPr>
        <w:r w:rsidRPr="003015C7">
          <w:t xml:space="preserve">la </w:t>
        </w:r>
        <w:r w:rsidRPr="00446BDC">
          <w:rPr>
            <w:color w:val="0000FF"/>
          </w:rPr>
          <w:t>Figure</w:t>
        </w:r>
      </w:smartTag>
      <w:r w:rsidRPr="00446BDC">
        <w:rPr>
          <w:color w:val="0000FF"/>
        </w:rPr>
        <w:t xml:space="preserve"> 7.</w:t>
      </w:r>
      <w:r w:rsidRPr="003015C7">
        <w:t xml:space="preserve"> Les pathogènes entériques, qui expriment des facteurs de pathogénicité tels que facteurs d’adhésion, invasines et toxines interagissent avec les cellules des villosités intestinales </w:t>
      </w:r>
      <w:r w:rsidRPr="00B65FFC">
        <w:rPr>
          <w:color w:val="0000FF"/>
        </w:rPr>
        <w:t xml:space="preserve">(Nauciel, 2000). </w:t>
      </w:r>
    </w:p>
    <w:p w:rsidR="00723E07" w:rsidRDefault="00723E07" w:rsidP="00723E07">
      <w:pPr>
        <w:pStyle w:val="NormalWeb"/>
        <w:spacing w:before="120" w:beforeAutospacing="0" w:after="120" w:afterAutospacing="0" w:line="360" w:lineRule="auto"/>
        <w:ind w:firstLine="708"/>
        <w:jc w:val="both"/>
      </w:pPr>
      <w:r w:rsidRPr="003015C7">
        <w:t xml:space="preserve">En réponse à ces pathogènes indésirables, les cellules de Paneth situées à la base des villosités sécrètent des molécules protéiques antimicrobiennes de même que d’autres cellules situées sur les villosités. </w:t>
      </w:r>
    </w:p>
    <w:p w:rsidR="00723E07" w:rsidRDefault="00723E07" w:rsidP="00723E07">
      <w:pPr>
        <w:pStyle w:val="NormalWeb"/>
        <w:spacing w:before="120" w:beforeAutospacing="0" w:after="120" w:afterAutospacing="0" w:line="360" w:lineRule="auto"/>
        <w:ind w:firstLine="708"/>
        <w:jc w:val="both"/>
      </w:pPr>
      <w:r w:rsidRPr="003015C7">
        <w:t xml:space="preserve">En parallèle, les bactéries intestinales résidentes Gram-négatif et positif produisent des molécules antibactériennes. Ces substances antimicrobiennes ont un large spectre d’activité contre une variété de bactéries et les virus enveloppés </w:t>
      </w:r>
      <w:r w:rsidRPr="00B65FFC">
        <w:rPr>
          <w:color w:val="0000FF"/>
        </w:rPr>
        <w:t>(Liévin-Le Moal et Servin, 2006).</w:t>
      </w:r>
      <w:r w:rsidRPr="003015C7">
        <w:rPr>
          <w:color w:val="FF6600"/>
        </w:rPr>
        <w:t xml:space="preserve"> </w:t>
      </w:r>
      <w:r w:rsidRPr="003015C7">
        <w:t xml:space="preserve">Cette défense chimique joue un rôle majeur lors des premières heures suivant l’infection </w:t>
      </w:r>
      <w:r w:rsidRPr="00B65FFC">
        <w:rPr>
          <w:color w:val="0000FF"/>
        </w:rPr>
        <w:t>(Liévin-Le Moal et Servin, 2006).</w:t>
      </w:r>
      <w:r w:rsidRPr="003015C7">
        <w:t xml:space="preserve"> </w:t>
      </w:r>
    </w:p>
    <w:p w:rsidR="00723E07" w:rsidRDefault="00723E07" w:rsidP="00723E07">
      <w:pPr>
        <w:pStyle w:val="NormalWeb"/>
        <w:spacing w:before="120" w:beforeAutospacing="0" w:after="120" w:afterAutospacing="0" w:line="360" w:lineRule="auto"/>
        <w:ind w:firstLine="708"/>
        <w:jc w:val="both"/>
        <w:rPr>
          <w:color w:val="FF6600"/>
        </w:rPr>
      </w:pPr>
      <w:r w:rsidRPr="003015C7">
        <w:t xml:space="preserve">D’autres moyens physiques, tels que la mobilité de l’intestin par péristaltisme, peuvent contribuer à l’élimination des pathogènes hors de l’intestin </w:t>
      </w:r>
      <w:r w:rsidRPr="00B65FFC">
        <w:rPr>
          <w:color w:val="0000FF"/>
        </w:rPr>
        <w:t xml:space="preserve">(Ouwehand </w:t>
      </w:r>
      <w:r w:rsidRPr="00B65FFC">
        <w:rPr>
          <w:i/>
          <w:iCs/>
          <w:color w:val="0000FF"/>
        </w:rPr>
        <w:t>et al</w:t>
      </w:r>
      <w:r w:rsidRPr="00B65FFC">
        <w:rPr>
          <w:color w:val="0000FF"/>
        </w:rPr>
        <w:t>., 2002; Gill, 2003).</w:t>
      </w:r>
    </w:p>
    <w:p w:rsidR="00723E07" w:rsidRPr="003015C7" w:rsidRDefault="00723E07" w:rsidP="00723E07">
      <w:pPr>
        <w:pStyle w:val="NormalWeb"/>
        <w:spacing w:before="120" w:beforeAutospacing="0" w:after="120" w:afterAutospacing="0" w:line="360" w:lineRule="auto"/>
        <w:ind w:firstLine="708"/>
        <w:jc w:val="both"/>
      </w:pPr>
      <w:r w:rsidRPr="003015C7">
        <w:t xml:space="preserve">Enfin, la présence du microbiote résident sur l’épithélium intestinal constitue un moyen de défense non spécifique important. Pour illustrer cette </w:t>
      </w:r>
      <w:r w:rsidR="001C2A4F" w:rsidRPr="003015C7">
        <w:t>importance, il</w:t>
      </w:r>
      <w:r w:rsidRPr="003015C7">
        <w:t xml:space="preserve"> a été estimé que le tractus intestinal d’un humain héberge approximativement 10</w:t>
      </w:r>
      <w:r w:rsidRPr="003015C7">
        <w:rPr>
          <w:vertAlign w:val="superscript"/>
        </w:rPr>
        <w:t>13</w:t>
      </w:r>
      <w:r w:rsidRPr="003015C7">
        <w:t>-10</w:t>
      </w:r>
      <w:r w:rsidRPr="003015C7">
        <w:rPr>
          <w:vertAlign w:val="superscript"/>
        </w:rPr>
        <w:t>14</w:t>
      </w:r>
      <w:r w:rsidRPr="003015C7">
        <w:t xml:space="preserve"> bactéries viables, c’est-à-dire plus de 10 fois le nombre total de cellules eucaryotes de tous les tissus du corps humain réunis </w:t>
      </w:r>
      <w:r w:rsidRPr="00B65FFC">
        <w:rPr>
          <w:color w:val="0000FF"/>
        </w:rPr>
        <w:t xml:space="preserve">(Picard </w:t>
      </w:r>
      <w:r w:rsidRPr="00B65FFC">
        <w:rPr>
          <w:i/>
          <w:iCs/>
          <w:color w:val="0000FF"/>
        </w:rPr>
        <w:t>et al</w:t>
      </w:r>
      <w:r w:rsidRPr="00B65FFC">
        <w:rPr>
          <w:color w:val="0000FF"/>
        </w:rPr>
        <w:t>., 2005).</w:t>
      </w:r>
      <w:r w:rsidRPr="003015C7">
        <w:t xml:space="preserve"> Cette barrière microbienne sera décrite plus en détails dans la prochaine section.</w:t>
      </w:r>
    </w:p>
    <w:p w:rsidR="00723E07" w:rsidRPr="003015C7" w:rsidRDefault="00723E07" w:rsidP="00723E07">
      <w:pPr>
        <w:pStyle w:val="Titre4"/>
        <w:spacing w:before="120" w:after="120" w:line="360" w:lineRule="auto"/>
        <w:ind w:firstLine="708"/>
        <w:jc w:val="both"/>
        <w:rPr>
          <w:sz w:val="24"/>
          <w:szCs w:val="24"/>
        </w:rPr>
      </w:pPr>
      <w:r w:rsidRPr="003015C7">
        <w:rPr>
          <w:sz w:val="24"/>
          <w:szCs w:val="24"/>
        </w:rPr>
        <w:lastRenderedPageBreak/>
        <w:t>1.3.1 Importance de la barrière microbienne</w:t>
      </w:r>
    </w:p>
    <w:p w:rsidR="00723E07" w:rsidRDefault="00723E07" w:rsidP="00723E07">
      <w:pPr>
        <w:pStyle w:val="NormalWeb"/>
        <w:spacing w:before="120" w:beforeAutospacing="0" w:after="120" w:afterAutospacing="0" w:line="360" w:lineRule="auto"/>
        <w:ind w:firstLine="708"/>
        <w:jc w:val="both"/>
      </w:pPr>
      <w:r w:rsidRPr="003015C7">
        <w:t xml:space="preserve">Le microbiote résident du tractus gastro-intestinal humain contient diverses populations de bactéries qui jouent un rôle essentiel dans le développement et le bien-être de l’hôte (Liévin-Le Moal et Servin, 2006). </w:t>
      </w:r>
    </w:p>
    <w:p w:rsidR="00723E07" w:rsidRPr="003015C7" w:rsidRDefault="00723E07" w:rsidP="00723E07">
      <w:pPr>
        <w:pStyle w:val="NormalWeb"/>
        <w:spacing w:before="120" w:beforeAutospacing="0" w:after="120" w:afterAutospacing="0" w:line="360" w:lineRule="auto"/>
        <w:ind w:firstLine="708"/>
        <w:jc w:val="both"/>
      </w:pPr>
      <w:r w:rsidRPr="003015C7">
        <w:t xml:space="preserve">En plus de ses effets nutritionnels et physiologiques, le microbiote intestinal participe à la protection de l’hôte en agissant comme une barrière microbienne contre l’infection par des pathogènes microbiens </w:t>
      </w:r>
      <w:r w:rsidRPr="003015C7">
        <w:rPr>
          <w:color w:val="FF0000"/>
        </w:rPr>
        <w:t xml:space="preserve">(Servin, 2004). </w:t>
      </w:r>
      <w:r w:rsidRPr="003015C7">
        <w:t>Ce rôle est communément appelé «</w:t>
      </w:r>
      <w:r>
        <w:t xml:space="preserve"> </w:t>
      </w:r>
      <w:r w:rsidRPr="003015C7">
        <w:t>l’effet barrière</w:t>
      </w:r>
      <w:r>
        <w:t xml:space="preserve"> </w:t>
      </w:r>
      <w:r w:rsidRPr="003015C7">
        <w:t>».</w:t>
      </w:r>
      <w:r w:rsidRPr="002479E1">
        <w:rPr>
          <w:color w:val="0033CC"/>
        </w:rPr>
        <w:t>(Liévin et al .,2008)</w:t>
      </w:r>
    </w:p>
    <w:p w:rsidR="00723E07" w:rsidRDefault="00723E07" w:rsidP="00723E07">
      <w:pPr>
        <w:autoSpaceDE w:val="0"/>
        <w:autoSpaceDN w:val="0"/>
        <w:adjustRightInd w:val="0"/>
        <w:spacing w:before="120" w:after="120" w:line="360" w:lineRule="auto"/>
        <w:ind w:firstLine="708"/>
        <w:jc w:val="both"/>
      </w:pPr>
      <w:r w:rsidRPr="003015C7">
        <w:t xml:space="preserve">L’établissement de cet écosystème microbien complexe s’effectue dès les premières heures de vie d’un nouveau-né, qui en est initialement dépourvu </w:t>
      </w:r>
      <w:r w:rsidRPr="003015C7">
        <w:rPr>
          <w:color w:val="FF0000"/>
        </w:rPr>
        <w:t xml:space="preserve">(Steer </w:t>
      </w:r>
      <w:r w:rsidRPr="003015C7">
        <w:rPr>
          <w:i/>
          <w:iCs/>
          <w:color w:val="FF0000"/>
        </w:rPr>
        <w:t>et al</w:t>
      </w:r>
      <w:r w:rsidRPr="003015C7">
        <w:rPr>
          <w:color w:val="FF0000"/>
        </w:rPr>
        <w:t>., 2000).</w:t>
      </w:r>
      <w:r w:rsidRPr="003015C7">
        <w:t xml:space="preserve"> Les premiers germes rencontrés sont des entérobactéries (</w:t>
      </w:r>
      <w:r w:rsidRPr="003015C7">
        <w:rPr>
          <w:rStyle w:val="Accentuation"/>
        </w:rPr>
        <w:t>E. coli</w:t>
      </w:r>
      <w:r w:rsidRPr="003015C7">
        <w:t xml:space="preserve"> essentiellement) et streptocoques (</w:t>
      </w:r>
      <w:r w:rsidRPr="003015C7">
        <w:rPr>
          <w:color w:val="FF0000"/>
        </w:rPr>
        <w:t xml:space="preserve">Cibik </w:t>
      </w:r>
      <w:r w:rsidRPr="003015C7">
        <w:rPr>
          <w:i/>
          <w:iCs/>
          <w:color w:val="FF0000"/>
        </w:rPr>
        <w:t>et al</w:t>
      </w:r>
      <w:r w:rsidRPr="003015C7">
        <w:rPr>
          <w:color w:val="FF0000"/>
        </w:rPr>
        <w:t>., 2004</w:t>
      </w:r>
      <w:r w:rsidRPr="003015C7">
        <w:t xml:space="preserve">). </w:t>
      </w:r>
    </w:p>
    <w:p w:rsidR="00723E07" w:rsidRDefault="00723E07" w:rsidP="00723E07">
      <w:pPr>
        <w:pStyle w:val="NormalWeb"/>
        <w:spacing w:before="120" w:beforeAutospacing="0" w:after="120" w:afterAutospacing="0" w:line="360" w:lineRule="auto"/>
        <w:ind w:firstLine="708"/>
        <w:jc w:val="both"/>
      </w:pPr>
      <w:r w:rsidRPr="003015C7">
        <w:t xml:space="preserve">Puis vers le deuxième-troisième jour, apparaissent des espèces variées appartenant aux genres </w:t>
      </w:r>
      <w:r w:rsidRPr="003015C7">
        <w:rPr>
          <w:rStyle w:val="Accentuation"/>
        </w:rPr>
        <w:t>Bifidobacterium</w:t>
      </w:r>
      <w:r w:rsidRPr="003015C7">
        <w:t xml:space="preserve">, </w:t>
      </w:r>
      <w:r w:rsidRPr="003015C7">
        <w:rPr>
          <w:rStyle w:val="Accentuation"/>
        </w:rPr>
        <w:t>Lactobacillus</w:t>
      </w:r>
      <w:r w:rsidRPr="003015C7">
        <w:t xml:space="preserve">, suivent ensuite les </w:t>
      </w:r>
      <w:r w:rsidRPr="003015C7">
        <w:rPr>
          <w:rStyle w:val="Accentuation"/>
        </w:rPr>
        <w:t xml:space="preserve">Bacteroides </w:t>
      </w:r>
      <w:r w:rsidRPr="003015C7">
        <w:t xml:space="preserve">et </w:t>
      </w:r>
      <w:r w:rsidRPr="003015C7">
        <w:rPr>
          <w:rStyle w:val="Accentuation"/>
        </w:rPr>
        <w:t xml:space="preserve">Clostridiae </w:t>
      </w:r>
      <w:r w:rsidRPr="00AC4F4C">
        <w:rPr>
          <w:color w:val="FF0000"/>
        </w:rPr>
        <w:t>(Ballongue, 1998)</w:t>
      </w:r>
      <w:r w:rsidRPr="003015C7">
        <w:t>.</w:t>
      </w:r>
    </w:p>
    <w:p w:rsidR="00723E07" w:rsidRDefault="00723E07" w:rsidP="00723E07">
      <w:pPr>
        <w:autoSpaceDE w:val="0"/>
        <w:autoSpaceDN w:val="0"/>
        <w:adjustRightInd w:val="0"/>
        <w:spacing w:before="120" w:after="120" w:line="360" w:lineRule="auto"/>
        <w:jc w:val="both"/>
      </w:pPr>
      <w:r w:rsidRPr="003015C7">
        <w:t xml:space="preserve">             Jusqu’à l’âge de deux ans, le microbiote se diversifiera et s’établira dans les différents compartiments du tractus digestif tel qu’illustré à la </w:t>
      </w:r>
      <w:r w:rsidRPr="00446BDC">
        <w:rPr>
          <w:color w:val="0000FF"/>
        </w:rPr>
        <w:t xml:space="preserve">Figure </w:t>
      </w:r>
      <w:r>
        <w:rPr>
          <w:color w:val="0000FF"/>
        </w:rPr>
        <w:t>6</w:t>
      </w:r>
      <w:r w:rsidRPr="00446BDC">
        <w:rPr>
          <w:color w:val="0000FF"/>
        </w:rPr>
        <w:t>.</w:t>
      </w:r>
      <w:r w:rsidRPr="003015C7">
        <w:t xml:space="preserve"> La connaissance des genres et des espèces dominantes, de même que leurs concentrations et leurs activités biologiques sont utiles pour comprendre l’écologie du tractus gastrointestinal. </w:t>
      </w:r>
    </w:p>
    <w:p w:rsidR="00723E07" w:rsidRDefault="00723E07" w:rsidP="00723E07">
      <w:pPr>
        <w:pStyle w:val="NormalWeb"/>
        <w:spacing w:before="120" w:beforeAutospacing="0" w:after="120" w:afterAutospacing="0" w:line="360" w:lineRule="auto"/>
        <w:ind w:firstLine="708"/>
        <w:jc w:val="both"/>
      </w:pPr>
      <w:r w:rsidRPr="003015C7">
        <w:t>Le microbiote de l’estomac est peu élevée avec des concentrations inférieures à 10</w:t>
      </w:r>
      <w:r w:rsidRPr="003015C7">
        <w:rPr>
          <w:vertAlign w:val="superscript"/>
        </w:rPr>
        <w:t>3</w:t>
      </w:r>
      <w:r w:rsidRPr="003015C7">
        <w:t xml:space="preserve"> cfu/ml et sont en général des micro-organismes Gram-positifs et aérobiques </w:t>
      </w:r>
      <w:r w:rsidRPr="003015C7">
        <w:rPr>
          <w:color w:val="FF0000"/>
        </w:rPr>
        <w:t>(Gibson et Beaumont, 1996).</w:t>
      </w:r>
      <w:r w:rsidRPr="003015C7">
        <w:t xml:space="preserve"> L’intestin grêle constitue une zone de transition entre la population disparate de l’estomac et le microbiote luxuriant du côlon. </w:t>
      </w:r>
    </w:p>
    <w:p w:rsidR="00723E07" w:rsidRPr="003015C7" w:rsidRDefault="00723E07" w:rsidP="00723E07">
      <w:pPr>
        <w:spacing w:line="360" w:lineRule="auto"/>
        <w:jc w:val="both"/>
      </w:pPr>
      <w:r>
        <w:rPr>
          <w:noProof/>
        </w:rPr>
        <w:lastRenderedPageBreak/>
        <w:drawing>
          <wp:inline distT="0" distB="0" distL="0" distR="0">
            <wp:extent cx="5414933" cy="6744428"/>
            <wp:effectExtent l="19050" t="0" r="0" b="0"/>
            <wp:docPr id="19" name="Image 9" descr="Figure 1.11 : Défenses antimicrobiennes de l’hôte face à l’intrusion de micro-organismes pathogènes au niveau du tractus intestinal. Tiré de Liévin-Le Moal et Servin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ure 1.11 : Défenses antimicrobiennes de l’hôte face à l’intrusion de micro-organismes pathogènes au niveau du tractus intestinal. Tiré de Liévin-Le Moal et Servin (2006)."/>
                    <pic:cNvPicPr>
                      <a:picLocks noChangeAspect="1" noChangeArrowheads="1"/>
                    </pic:cNvPicPr>
                  </pic:nvPicPr>
                  <pic:blipFill>
                    <a:blip r:embed="rId12"/>
                    <a:srcRect/>
                    <a:stretch>
                      <a:fillRect/>
                    </a:stretch>
                  </pic:blipFill>
                  <pic:spPr bwMode="auto">
                    <a:xfrm>
                      <a:off x="0" y="0"/>
                      <a:ext cx="5419725" cy="6750397"/>
                    </a:xfrm>
                    <a:prstGeom prst="rect">
                      <a:avLst/>
                    </a:prstGeom>
                    <a:noFill/>
                    <a:ln w="9525">
                      <a:noFill/>
                      <a:miter lim="800000"/>
                      <a:headEnd/>
                      <a:tailEnd/>
                    </a:ln>
                  </pic:spPr>
                </pic:pic>
              </a:graphicData>
            </a:graphic>
          </wp:inline>
        </w:drawing>
      </w:r>
    </w:p>
    <w:p w:rsidR="00723E07" w:rsidRPr="003015C7" w:rsidRDefault="00723E07" w:rsidP="00723E07">
      <w:pPr>
        <w:autoSpaceDE w:val="0"/>
        <w:autoSpaceDN w:val="0"/>
        <w:adjustRightInd w:val="0"/>
        <w:spacing w:line="360" w:lineRule="auto"/>
        <w:jc w:val="both"/>
      </w:pPr>
    </w:p>
    <w:p w:rsidR="00723E07" w:rsidRPr="003015C7" w:rsidRDefault="00723E07" w:rsidP="00723E07"/>
    <w:p w:rsidR="00723E07" w:rsidRPr="003015C7" w:rsidRDefault="00723E07" w:rsidP="00723E07">
      <w:pPr>
        <w:ind w:left="993" w:right="74" w:hanging="993"/>
        <w:jc w:val="both"/>
      </w:pPr>
      <w:r w:rsidRPr="003E092F">
        <w:rPr>
          <w:b/>
          <w:bCs/>
          <w:u w:val="single"/>
        </w:rPr>
        <w:t xml:space="preserve">Figure </w:t>
      </w:r>
      <w:r>
        <w:rPr>
          <w:b/>
          <w:bCs/>
          <w:u w:val="single"/>
        </w:rPr>
        <w:t>6</w:t>
      </w:r>
      <w:r w:rsidRPr="003E092F">
        <w:rPr>
          <w:b/>
          <w:bCs/>
          <w:u w:val="single"/>
        </w:rPr>
        <w:t> </w:t>
      </w:r>
      <w:r w:rsidRPr="003015C7">
        <w:rPr>
          <w:b/>
          <w:bCs/>
        </w:rPr>
        <w:t xml:space="preserve">: </w:t>
      </w:r>
      <w:r w:rsidRPr="003015C7">
        <w:t>Défenses antimicrobiennes de l’hôte face à l’intrusion de micro-organismes pathogènes au niveau du tractus intestinal. Tiré de Liévin-Le Moal et Servin (2006).</w:t>
      </w:r>
    </w:p>
    <w:p w:rsidR="00723E07" w:rsidRPr="003015C7" w:rsidRDefault="00723E07" w:rsidP="00723E07">
      <w:pPr>
        <w:autoSpaceDE w:val="0"/>
        <w:autoSpaceDN w:val="0"/>
        <w:adjustRightInd w:val="0"/>
        <w:spacing w:line="360" w:lineRule="auto"/>
        <w:jc w:val="both"/>
      </w:pPr>
    </w:p>
    <w:p w:rsidR="00723E07" w:rsidRDefault="00723E07" w:rsidP="00723E07">
      <w:pPr>
        <w:autoSpaceDE w:val="0"/>
        <w:autoSpaceDN w:val="0"/>
        <w:adjustRightInd w:val="0"/>
        <w:spacing w:before="120" w:after="120" w:line="360" w:lineRule="auto"/>
        <w:jc w:val="both"/>
      </w:pPr>
      <w:r w:rsidRPr="003015C7">
        <w:br w:type="page"/>
      </w:r>
    </w:p>
    <w:p w:rsidR="00723E07" w:rsidRDefault="00723E07" w:rsidP="00723E07">
      <w:pPr>
        <w:pStyle w:val="NormalWeb"/>
        <w:spacing w:before="120" w:beforeAutospacing="0" w:after="120" w:afterAutospacing="0" w:line="360" w:lineRule="auto"/>
        <w:ind w:firstLine="708"/>
        <w:jc w:val="both"/>
      </w:pPr>
      <w:r w:rsidRPr="003015C7">
        <w:lastRenderedPageBreak/>
        <w:t>En conditions normales, le microbiote de la première partie du duodénum est similaire à celle de l’estomac. Les espèces dominantes incluent entre autres les streptocoques et lactobacilles (</w:t>
      </w:r>
      <w:r w:rsidRPr="003015C7">
        <w:rPr>
          <w:color w:val="FF0000"/>
        </w:rPr>
        <w:t xml:space="preserve">Mackie </w:t>
      </w:r>
      <w:r w:rsidRPr="003015C7">
        <w:rPr>
          <w:i/>
          <w:iCs/>
          <w:color w:val="FF0000"/>
        </w:rPr>
        <w:t>et al</w:t>
      </w:r>
      <w:r w:rsidRPr="003015C7">
        <w:rPr>
          <w:color w:val="FF0000"/>
        </w:rPr>
        <w:t>., 1999).</w:t>
      </w:r>
      <w:r w:rsidRPr="003015C7">
        <w:t xml:space="preserve"> Dans la dernière partie de l’intestin grêle, le nombre de bactéries Gram-négatifs dépasse celui de Gram-positifs. Les coliformes et les bactéries anaérobiques telles que les </w:t>
      </w:r>
      <w:r w:rsidRPr="003015C7">
        <w:rPr>
          <w:rStyle w:val="Accentuation"/>
        </w:rPr>
        <w:t>Bacteroides</w:t>
      </w:r>
      <w:r w:rsidRPr="003015C7">
        <w:t>, bifidobactéries et fusobactéries sont régulièrement présents en concentrations substantielles jusqu’environ 10</w:t>
      </w:r>
      <w:r w:rsidRPr="003015C7">
        <w:rPr>
          <w:vertAlign w:val="superscript"/>
        </w:rPr>
        <w:t>8</w:t>
      </w:r>
      <w:r w:rsidRPr="003015C7">
        <w:t xml:space="preserve"> ufc/ml </w:t>
      </w:r>
      <w:r w:rsidRPr="003015C7">
        <w:rPr>
          <w:color w:val="FF0000"/>
        </w:rPr>
        <w:t xml:space="preserve">(Mackie </w:t>
      </w:r>
      <w:r w:rsidRPr="003015C7">
        <w:rPr>
          <w:i/>
          <w:iCs/>
          <w:color w:val="FF0000"/>
        </w:rPr>
        <w:t>et al</w:t>
      </w:r>
      <w:r w:rsidRPr="003015C7">
        <w:rPr>
          <w:color w:val="FF0000"/>
        </w:rPr>
        <w:t>., 1999).</w:t>
      </w:r>
      <w:r w:rsidRPr="003015C7">
        <w:t xml:space="preserve"> </w:t>
      </w:r>
    </w:p>
    <w:p w:rsidR="00723E07" w:rsidRDefault="00723E07" w:rsidP="00723E07">
      <w:pPr>
        <w:pStyle w:val="NormalWeb"/>
        <w:spacing w:before="120" w:beforeAutospacing="0" w:after="120" w:afterAutospacing="0" w:line="360" w:lineRule="auto"/>
        <w:ind w:firstLine="708"/>
        <w:jc w:val="both"/>
        <w:rPr>
          <w:color w:val="FF0000"/>
        </w:rPr>
      </w:pPr>
      <w:r w:rsidRPr="003015C7">
        <w:t>À la suite de l’intestin grêle, la concentration bactérienne augmente rapidement pour atteindre 10</w:t>
      </w:r>
      <w:r w:rsidRPr="003015C7">
        <w:rPr>
          <w:vertAlign w:val="superscript"/>
        </w:rPr>
        <w:t>10</w:t>
      </w:r>
      <w:r w:rsidRPr="003015C7">
        <w:t xml:space="preserve"> à 10</w:t>
      </w:r>
      <w:r w:rsidRPr="003015C7">
        <w:rPr>
          <w:vertAlign w:val="superscript"/>
        </w:rPr>
        <w:t>12</w:t>
      </w:r>
      <w:r w:rsidRPr="003015C7">
        <w:t xml:space="preserve"> cfu/g (</w:t>
      </w:r>
      <w:r w:rsidRPr="003015C7">
        <w:rPr>
          <w:color w:val="FF0000"/>
        </w:rPr>
        <w:t xml:space="preserve">Conway, 1995; Macfarlane </w:t>
      </w:r>
      <w:r w:rsidRPr="003015C7">
        <w:rPr>
          <w:i/>
          <w:iCs/>
          <w:color w:val="FF0000"/>
        </w:rPr>
        <w:t>et al</w:t>
      </w:r>
      <w:r w:rsidRPr="003015C7">
        <w:rPr>
          <w:color w:val="FF0000"/>
        </w:rPr>
        <w:t>., 2004).</w:t>
      </w:r>
      <w:r w:rsidRPr="003015C7">
        <w:t xml:space="preserve"> Les bactéries anaérobiques dépassent les aérobes. Les bactéries dominantes sont les </w:t>
      </w:r>
      <w:r w:rsidRPr="003015C7">
        <w:rPr>
          <w:rStyle w:val="Accentuation"/>
        </w:rPr>
        <w:t>Bacteroides</w:t>
      </w:r>
      <w:r w:rsidRPr="003015C7">
        <w:t xml:space="preserve">, bifidobactéries, coques Gram-positifs, </w:t>
      </w:r>
      <w:r w:rsidRPr="00AC4F4C">
        <w:rPr>
          <w:i/>
          <w:iCs/>
        </w:rPr>
        <w:t>Clostridium</w:t>
      </w:r>
      <w:r w:rsidRPr="003015C7">
        <w:t xml:space="preserve"> et différentes espèces d’entérobactéries sont aussi présentes </w:t>
      </w:r>
      <w:r w:rsidRPr="003015C7">
        <w:rPr>
          <w:color w:val="FF0000"/>
        </w:rPr>
        <w:t>(Guarner, 2006)</w:t>
      </w:r>
    </w:p>
    <w:p w:rsidR="00723E07" w:rsidRDefault="00723E07" w:rsidP="00723E07">
      <w:pPr>
        <w:pStyle w:val="NormalWeb"/>
        <w:spacing w:before="120" w:beforeAutospacing="0" w:after="120" w:afterAutospacing="0" w:line="360" w:lineRule="auto"/>
        <w:ind w:firstLine="708"/>
        <w:jc w:val="both"/>
      </w:pPr>
      <w:r w:rsidRPr="003015C7">
        <w:t xml:space="preserve">En général, les populations bactériennes à l’intérieur du tractus gastro-intestinal coexistent en ayant chacune leur niche écologique nécessaire à leur croissance </w:t>
      </w:r>
      <w:r w:rsidRPr="003015C7">
        <w:rPr>
          <w:color w:val="FF0000"/>
        </w:rPr>
        <w:t>(Fooks et Gibson, 2002).</w:t>
      </w:r>
      <w:r w:rsidRPr="003015C7">
        <w:t xml:space="preserve"> Cependant, pour fonctionner de façon optimale, la balance du microbiote bactérien doit être maintenue de façon équilibrée mais de nombreux facteurs peuvent l’affecter. </w:t>
      </w:r>
    </w:p>
    <w:p w:rsidR="00723E07" w:rsidRDefault="00723E07" w:rsidP="00723E07">
      <w:pPr>
        <w:pStyle w:val="NormalWeb"/>
        <w:spacing w:before="120" w:beforeAutospacing="0" w:after="120" w:afterAutospacing="0" w:line="360" w:lineRule="auto"/>
        <w:ind w:firstLine="708"/>
        <w:jc w:val="both"/>
      </w:pPr>
      <w:r w:rsidRPr="003015C7">
        <w:t xml:space="preserve">Ceci explique les variations interindividuelles retrouvées dans la population en général </w:t>
      </w:r>
      <w:r w:rsidRPr="00C30C8C">
        <w:rPr>
          <w:color w:val="0000FF"/>
        </w:rPr>
        <w:t xml:space="preserve">(Hopkins </w:t>
      </w:r>
      <w:r w:rsidRPr="00C30C8C">
        <w:rPr>
          <w:i/>
          <w:iCs/>
          <w:color w:val="0000FF"/>
        </w:rPr>
        <w:t>et al</w:t>
      </w:r>
      <w:r w:rsidRPr="00C30C8C">
        <w:rPr>
          <w:color w:val="0000FF"/>
        </w:rPr>
        <w:t>., 2002)</w:t>
      </w:r>
      <w:r w:rsidRPr="00C30C8C">
        <w:t>.</w:t>
      </w:r>
      <w:r w:rsidRPr="003015C7">
        <w:t xml:space="preserve"> </w:t>
      </w:r>
    </w:p>
    <w:p w:rsidR="00723E07" w:rsidRPr="003015C7" w:rsidRDefault="00723E07" w:rsidP="00723E07">
      <w:pPr>
        <w:pStyle w:val="NormalWeb"/>
        <w:spacing w:before="120" w:beforeAutospacing="0" w:after="120" w:afterAutospacing="0" w:line="360" w:lineRule="auto"/>
        <w:ind w:firstLine="708"/>
        <w:jc w:val="both"/>
      </w:pPr>
      <w:r w:rsidRPr="003015C7">
        <w:t xml:space="preserve">Un autre facteur contributoire est la consommation de médicaments, en particulier les antibiotiques, qui détruisent les bactéries et peuvent avoir un impact négatif sur la balance du microbiote intestinal. Ainsi, tous ces facteurs peuvent déplacer l’équilibre du microbiote contenant des bactéries potentiellement bénéfiques vers des micro-organismes néfastes comme les </w:t>
      </w:r>
      <w:r w:rsidRPr="00246DEE">
        <w:rPr>
          <w:i/>
          <w:iCs/>
        </w:rPr>
        <w:t>Clostridium</w:t>
      </w:r>
      <w:r w:rsidRPr="003015C7">
        <w:t xml:space="preserve">, les réducteurs de sulfates et les </w:t>
      </w:r>
      <w:r w:rsidRPr="003015C7">
        <w:rPr>
          <w:rStyle w:val="Accentuation"/>
        </w:rPr>
        <w:t xml:space="preserve">Bacteroides </w:t>
      </w:r>
      <w:r w:rsidRPr="003015C7">
        <w:t xml:space="preserve">protéolytiques </w:t>
      </w:r>
      <w:r w:rsidRPr="00C30C8C">
        <w:rPr>
          <w:color w:val="0000FF"/>
        </w:rPr>
        <w:t xml:space="preserve">(Salminen </w:t>
      </w:r>
      <w:r w:rsidRPr="00C30C8C">
        <w:rPr>
          <w:i/>
          <w:iCs/>
          <w:color w:val="0000FF"/>
        </w:rPr>
        <w:t>et al</w:t>
      </w:r>
      <w:r w:rsidRPr="00C30C8C">
        <w:rPr>
          <w:color w:val="0000FF"/>
        </w:rPr>
        <w:t>., 1998)</w:t>
      </w:r>
      <w:r w:rsidRPr="00C30C8C">
        <w:t>.</w:t>
      </w:r>
    </w:p>
    <w:p w:rsidR="00723E07" w:rsidRPr="000726C2" w:rsidRDefault="00723E07" w:rsidP="00723E07">
      <w:pPr>
        <w:pStyle w:val="NormalWeb"/>
        <w:spacing w:before="120" w:beforeAutospacing="0" w:after="120" w:afterAutospacing="0" w:line="360" w:lineRule="auto"/>
        <w:ind w:firstLine="708"/>
        <w:jc w:val="both"/>
        <w:rPr>
          <w:i/>
          <w:iCs/>
          <w:color w:val="0000FF"/>
        </w:rPr>
      </w:pPr>
      <w:r w:rsidRPr="003015C7">
        <w:t xml:space="preserve">Le concept des espèces bénéfiques existe depuis longtemps </w:t>
      </w:r>
      <w:r w:rsidRPr="00C30C8C">
        <w:rPr>
          <w:color w:val="0000FF"/>
        </w:rPr>
        <w:t xml:space="preserve">(Liévin </w:t>
      </w:r>
      <w:r w:rsidRPr="00C30C8C">
        <w:rPr>
          <w:i/>
          <w:iCs/>
          <w:color w:val="0000FF"/>
        </w:rPr>
        <w:t>et al</w:t>
      </w:r>
      <w:r w:rsidRPr="00C30C8C">
        <w:rPr>
          <w:color w:val="0000FF"/>
        </w:rPr>
        <w:t>., 2000)</w:t>
      </w:r>
      <w:r w:rsidRPr="00C30C8C">
        <w:t xml:space="preserve">. </w:t>
      </w:r>
      <w:r w:rsidRPr="003015C7">
        <w:t xml:space="preserve">Selon ce concept, certaines bactéries formant le microbiote intestinal seraient associées à des effets positifs sur la santé, alors que d’autres sont considérées comme néfastes </w:t>
      </w:r>
      <w:r w:rsidRPr="000726C2">
        <w:rPr>
          <w:i/>
          <w:iCs/>
          <w:color w:val="0000FF"/>
        </w:rPr>
        <w:t xml:space="preserve">(Tableau 5). </w:t>
      </w:r>
    </w:p>
    <w:p w:rsidR="00723E07" w:rsidRDefault="00723E07" w:rsidP="00723E07">
      <w:pPr>
        <w:pStyle w:val="NormalWeb"/>
        <w:spacing w:before="120" w:beforeAutospacing="0" w:after="120" w:afterAutospacing="0" w:line="360" w:lineRule="auto"/>
        <w:ind w:firstLine="708"/>
        <w:jc w:val="both"/>
        <w:rPr>
          <w:color w:val="FF0000"/>
        </w:rPr>
      </w:pPr>
      <w:r w:rsidRPr="003015C7">
        <w:t xml:space="preserve">Les bactéries potentiellement favorables pour la santé incluent principalement les genres </w:t>
      </w:r>
      <w:r w:rsidRPr="003015C7">
        <w:rPr>
          <w:rStyle w:val="Accentuation"/>
        </w:rPr>
        <w:t>Bifidobacterium</w:t>
      </w:r>
      <w:r w:rsidRPr="003015C7">
        <w:t xml:space="preserve"> et </w:t>
      </w:r>
      <w:r w:rsidRPr="003015C7">
        <w:rPr>
          <w:rStyle w:val="Accentuation"/>
        </w:rPr>
        <w:t>Lactobacillus</w:t>
      </w:r>
      <w:r w:rsidRPr="003015C7">
        <w:t xml:space="preserve"> et</w:t>
      </w:r>
      <w:r>
        <w:t xml:space="preserve"> </w:t>
      </w:r>
      <w:r w:rsidRPr="003015C7">
        <w:t xml:space="preserve"> leur </w:t>
      </w:r>
      <w:r>
        <w:t xml:space="preserve">  </w:t>
      </w:r>
      <w:r w:rsidRPr="003015C7">
        <w:t xml:space="preserve">dominance </w:t>
      </w:r>
      <w:r>
        <w:t xml:space="preserve"> </w:t>
      </w:r>
      <w:r w:rsidRPr="003015C7">
        <w:t>chez</w:t>
      </w:r>
      <w:r>
        <w:t xml:space="preserve"> </w:t>
      </w:r>
      <w:r w:rsidRPr="003015C7">
        <w:t xml:space="preserve"> les nouveaux-nés </w:t>
      </w:r>
    </w:p>
    <w:p w:rsidR="00723E07" w:rsidRDefault="00723E07" w:rsidP="00723E07">
      <w:pPr>
        <w:pStyle w:val="NormalWeb"/>
        <w:spacing w:before="120" w:beforeAutospacing="0" w:after="120" w:afterAutospacing="0"/>
        <w:jc w:val="both"/>
        <w:rPr>
          <w:b/>
          <w:bCs/>
        </w:rPr>
      </w:pPr>
    </w:p>
    <w:p w:rsidR="00723E07" w:rsidRDefault="00723E07" w:rsidP="00723E07">
      <w:pPr>
        <w:pStyle w:val="title"/>
        <w:spacing w:before="120" w:beforeAutospacing="0" w:after="120" w:afterAutospacing="0" w:line="360" w:lineRule="auto"/>
        <w:ind w:right="72"/>
        <w:jc w:val="both"/>
        <w:rPr>
          <w:rFonts w:ascii="Times New Roman" w:hAnsi="Times New Roman" w:cs="Times New Roman"/>
          <w:sz w:val="24"/>
          <w:szCs w:val="24"/>
        </w:rPr>
      </w:pPr>
      <w:r>
        <w:rPr>
          <w:noProof/>
        </w:rPr>
        <w:lastRenderedPageBreak/>
        <w:drawing>
          <wp:inline distT="0" distB="0" distL="0" distR="0">
            <wp:extent cx="3876246" cy="5002991"/>
            <wp:effectExtent l="19050" t="0" r="0" b="0"/>
            <wp:docPr id="20" name="Image 10" descr="Figure 1.12 : Colonisation microbienne du tractus gastrointestinal humain. Adapté de Holzapfel et al.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ure 1.12 : Colonisation microbienne du tractus gastrointestinal humain. Adapté de Holzapfel et al. (1998)."/>
                    <pic:cNvPicPr>
                      <a:picLocks noChangeAspect="1" noChangeArrowheads="1"/>
                    </pic:cNvPicPr>
                  </pic:nvPicPr>
                  <pic:blipFill>
                    <a:blip r:embed="rId13"/>
                    <a:srcRect/>
                    <a:stretch>
                      <a:fillRect/>
                    </a:stretch>
                  </pic:blipFill>
                  <pic:spPr bwMode="auto">
                    <a:xfrm>
                      <a:off x="0" y="0"/>
                      <a:ext cx="3876675" cy="5003545"/>
                    </a:xfrm>
                    <a:prstGeom prst="rect">
                      <a:avLst/>
                    </a:prstGeom>
                    <a:noFill/>
                    <a:ln w="9525">
                      <a:noFill/>
                      <a:miter lim="800000"/>
                      <a:headEnd/>
                      <a:tailEnd/>
                    </a:ln>
                  </pic:spPr>
                </pic:pic>
              </a:graphicData>
            </a:graphic>
          </wp:inline>
        </w:drawing>
      </w:r>
    </w:p>
    <w:p w:rsidR="00723E07" w:rsidRPr="00AC4F4C" w:rsidRDefault="00723E07" w:rsidP="00723E07">
      <w:pPr>
        <w:spacing w:before="120" w:after="120"/>
      </w:pPr>
    </w:p>
    <w:p w:rsidR="00723E07" w:rsidRPr="00AC4F4C" w:rsidRDefault="00723E07" w:rsidP="00723E07">
      <w:pPr>
        <w:spacing w:before="120" w:after="120"/>
      </w:pPr>
    </w:p>
    <w:p w:rsidR="00723E07" w:rsidRDefault="00723E07" w:rsidP="00723E07">
      <w:pPr>
        <w:pStyle w:val="title"/>
        <w:spacing w:before="120" w:beforeAutospacing="0" w:after="120" w:afterAutospacing="0" w:line="360" w:lineRule="auto"/>
        <w:ind w:right="72"/>
        <w:jc w:val="both"/>
      </w:pPr>
    </w:p>
    <w:p w:rsidR="00723E07" w:rsidRPr="00AC4F4C" w:rsidRDefault="00723E07" w:rsidP="00723E07">
      <w:pPr>
        <w:pStyle w:val="title"/>
        <w:spacing w:before="120" w:beforeAutospacing="0" w:after="120" w:afterAutospacing="0"/>
        <w:ind w:left="992" w:right="74" w:hanging="992"/>
        <w:jc w:val="both"/>
        <w:rPr>
          <w:rFonts w:asciiTheme="majorBidi" w:hAnsiTheme="majorBidi" w:cstheme="majorBidi"/>
          <w:sz w:val="24"/>
          <w:szCs w:val="24"/>
        </w:rPr>
      </w:pPr>
      <w:r w:rsidRPr="00AC4F4C">
        <w:rPr>
          <w:rFonts w:asciiTheme="majorBidi" w:hAnsiTheme="majorBidi" w:cstheme="majorBidi"/>
          <w:b/>
          <w:bCs/>
          <w:sz w:val="24"/>
          <w:szCs w:val="24"/>
          <w:u w:val="single"/>
        </w:rPr>
        <w:t xml:space="preserve">Figure </w:t>
      </w:r>
      <w:r>
        <w:rPr>
          <w:rFonts w:asciiTheme="majorBidi" w:hAnsiTheme="majorBidi" w:cstheme="majorBidi"/>
          <w:b/>
          <w:bCs/>
          <w:sz w:val="24"/>
          <w:szCs w:val="24"/>
          <w:u w:val="single"/>
        </w:rPr>
        <w:t>7</w:t>
      </w:r>
      <w:r w:rsidRPr="00AC4F4C">
        <w:rPr>
          <w:rFonts w:asciiTheme="majorBidi" w:hAnsiTheme="majorBidi" w:cstheme="majorBidi"/>
          <w:b/>
          <w:bCs/>
          <w:sz w:val="24"/>
          <w:szCs w:val="24"/>
        </w:rPr>
        <w:t xml:space="preserve">: </w:t>
      </w:r>
      <w:r w:rsidRPr="00AC4F4C">
        <w:rPr>
          <w:rFonts w:asciiTheme="majorBidi" w:hAnsiTheme="majorBidi" w:cstheme="majorBidi"/>
          <w:sz w:val="24"/>
          <w:szCs w:val="24"/>
        </w:rPr>
        <w:t xml:space="preserve">Colonisation microbienne du tractus gastro-intestinal humain. Adapté </w:t>
      </w:r>
      <w:r>
        <w:rPr>
          <w:rFonts w:asciiTheme="majorBidi" w:hAnsiTheme="majorBidi" w:cstheme="majorBidi"/>
          <w:sz w:val="24"/>
          <w:szCs w:val="24"/>
        </w:rPr>
        <w:t xml:space="preserve">  </w:t>
      </w:r>
      <w:r w:rsidRPr="00AC4F4C">
        <w:rPr>
          <w:rFonts w:asciiTheme="majorBidi" w:hAnsiTheme="majorBidi" w:cstheme="majorBidi"/>
          <w:sz w:val="24"/>
          <w:szCs w:val="24"/>
        </w:rPr>
        <w:t xml:space="preserve">de Holzapfel </w:t>
      </w:r>
      <w:r w:rsidRPr="00AC4F4C">
        <w:rPr>
          <w:rFonts w:asciiTheme="majorBidi" w:hAnsiTheme="majorBidi" w:cstheme="majorBidi"/>
          <w:i/>
          <w:iCs/>
          <w:sz w:val="24"/>
          <w:szCs w:val="24"/>
        </w:rPr>
        <w:t>et al</w:t>
      </w:r>
      <w:r w:rsidRPr="00AC4F4C">
        <w:rPr>
          <w:rFonts w:asciiTheme="majorBidi" w:hAnsiTheme="majorBidi" w:cstheme="majorBidi"/>
          <w:sz w:val="24"/>
          <w:szCs w:val="24"/>
        </w:rPr>
        <w:t>. (1998).</w:t>
      </w:r>
    </w:p>
    <w:p w:rsidR="00723E07" w:rsidRDefault="00723E07" w:rsidP="00723E07">
      <w:pPr>
        <w:pStyle w:val="title"/>
        <w:spacing w:before="120" w:beforeAutospacing="0" w:after="120" w:afterAutospacing="0" w:line="360" w:lineRule="auto"/>
        <w:ind w:right="72"/>
        <w:jc w:val="both"/>
      </w:pPr>
    </w:p>
    <w:p w:rsidR="00723E07" w:rsidRDefault="00723E07" w:rsidP="00723E07">
      <w:pPr>
        <w:pStyle w:val="NormalWeb"/>
        <w:spacing w:before="120" w:beforeAutospacing="0" w:after="120" w:afterAutospacing="0" w:line="360" w:lineRule="auto"/>
        <w:ind w:firstLine="708"/>
        <w:jc w:val="both"/>
        <w:rPr>
          <w:color w:val="FF0000"/>
        </w:rPr>
      </w:pPr>
    </w:p>
    <w:p w:rsidR="00723E07" w:rsidRDefault="00723E07" w:rsidP="00723E07">
      <w:pPr>
        <w:spacing w:before="120" w:after="120" w:line="360" w:lineRule="auto"/>
        <w:ind w:right="72"/>
        <w:jc w:val="both"/>
        <w:rPr>
          <w:b/>
          <w:bCs/>
          <w:u w:val="single"/>
        </w:rPr>
      </w:pPr>
    </w:p>
    <w:p w:rsidR="00723E07" w:rsidRDefault="00723E07" w:rsidP="00723E07">
      <w:pPr>
        <w:spacing w:before="120" w:after="120" w:line="360" w:lineRule="auto"/>
        <w:ind w:right="72"/>
        <w:jc w:val="both"/>
        <w:rPr>
          <w:b/>
          <w:bCs/>
          <w:u w:val="single"/>
        </w:rPr>
      </w:pPr>
    </w:p>
    <w:p w:rsidR="00723E07" w:rsidRDefault="00723E07" w:rsidP="00723E07">
      <w:pPr>
        <w:spacing w:before="120" w:after="120" w:line="360" w:lineRule="auto"/>
        <w:ind w:right="72"/>
        <w:jc w:val="both"/>
        <w:rPr>
          <w:b/>
          <w:bCs/>
          <w:u w:val="single"/>
        </w:rPr>
      </w:pPr>
    </w:p>
    <w:p w:rsidR="00723E07" w:rsidRDefault="00723E07" w:rsidP="00723E07">
      <w:pPr>
        <w:spacing w:before="120" w:after="120" w:line="360" w:lineRule="auto"/>
        <w:ind w:right="72"/>
        <w:jc w:val="both"/>
        <w:rPr>
          <w:b/>
          <w:bCs/>
          <w:u w:val="single"/>
        </w:rPr>
      </w:pPr>
    </w:p>
    <w:p w:rsidR="00723E07" w:rsidRDefault="00723E07" w:rsidP="00723E07">
      <w:pPr>
        <w:spacing w:before="120" w:after="120" w:line="360" w:lineRule="auto"/>
        <w:ind w:right="72"/>
        <w:jc w:val="both"/>
        <w:rPr>
          <w:b/>
          <w:bCs/>
          <w:u w:val="single"/>
        </w:rPr>
      </w:pPr>
    </w:p>
    <w:p w:rsidR="00723E07" w:rsidRDefault="00723E07" w:rsidP="00723E07">
      <w:pPr>
        <w:spacing w:before="120" w:after="120" w:line="360" w:lineRule="auto"/>
        <w:ind w:right="72"/>
        <w:jc w:val="both"/>
        <w:rPr>
          <w:b/>
          <w:bCs/>
          <w:u w:val="single"/>
        </w:rPr>
      </w:pPr>
    </w:p>
    <w:p w:rsidR="00723E07" w:rsidRDefault="00723E07" w:rsidP="00723E07">
      <w:pPr>
        <w:spacing w:before="120" w:after="120" w:line="360" w:lineRule="auto"/>
        <w:ind w:right="72"/>
        <w:jc w:val="both"/>
      </w:pPr>
      <w:r w:rsidRPr="003E092F">
        <w:rPr>
          <w:b/>
          <w:bCs/>
          <w:u w:val="single"/>
        </w:rPr>
        <w:lastRenderedPageBreak/>
        <w:t xml:space="preserve">Tableau </w:t>
      </w:r>
      <w:r>
        <w:rPr>
          <w:b/>
          <w:bCs/>
          <w:u w:val="single"/>
        </w:rPr>
        <w:t>5</w:t>
      </w:r>
      <w:r w:rsidRPr="003015C7">
        <w:rPr>
          <w:b/>
          <w:bCs/>
        </w:rPr>
        <w:t xml:space="preserve"> : </w:t>
      </w:r>
      <w:r w:rsidRPr="003E092F">
        <w:t>Rôles des différents groupes bactériens retrouvés dans le microbiote.</w:t>
      </w:r>
    </w:p>
    <w:tbl>
      <w:tblPr>
        <w:tblW w:w="0" w:type="auto"/>
        <w:tblCellSpacing w:w="15" w:type="dxa"/>
        <w:tblCellMar>
          <w:top w:w="15" w:type="dxa"/>
          <w:left w:w="15" w:type="dxa"/>
          <w:bottom w:w="15" w:type="dxa"/>
          <w:right w:w="15" w:type="dxa"/>
        </w:tblCellMar>
        <w:tblLook w:val="0000"/>
      </w:tblPr>
      <w:tblGrid>
        <w:gridCol w:w="6630"/>
      </w:tblGrid>
      <w:tr w:rsidR="00723E07" w:rsidRPr="003015C7" w:rsidTr="00AC7634">
        <w:trPr>
          <w:tblCellSpacing w:w="15" w:type="dxa"/>
        </w:trPr>
        <w:tc>
          <w:tcPr>
            <w:tcW w:w="0" w:type="auto"/>
            <w:vAlign w:val="center"/>
          </w:tcPr>
          <w:p w:rsidR="00723E07" w:rsidRPr="003015C7" w:rsidRDefault="00723E07" w:rsidP="00AC7634">
            <w:pPr>
              <w:spacing w:before="120" w:after="120" w:line="360" w:lineRule="auto"/>
              <w:jc w:val="both"/>
            </w:pPr>
            <w:r>
              <w:rPr>
                <w:noProof/>
              </w:rPr>
              <w:drawing>
                <wp:inline distT="0" distB="0" distL="0" distR="0">
                  <wp:extent cx="4133850" cy="3352800"/>
                  <wp:effectExtent l="19050" t="0" r="0" b="0"/>
                  <wp:docPr id="21" name="Image 11" descr="24866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4866_17"/>
                          <pic:cNvPicPr>
                            <a:picLocks noChangeAspect="1" noChangeArrowheads="1"/>
                          </pic:cNvPicPr>
                        </pic:nvPicPr>
                        <pic:blipFill>
                          <a:blip r:embed="rId14"/>
                          <a:srcRect/>
                          <a:stretch>
                            <a:fillRect/>
                          </a:stretch>
                        </pic:blipFill>
                        <pic:spPr bwMode="auto">
                          <a:xfrm>
                            <a:off x="0" y="0"/>
                            <a:ext cx="4133850" cy="3352800"/>
                          </a:xfrm>
                          <a:prstGeom prst="rect">
                            <a:avLst/>
                          </a:prstGeom>
                          <a:noFill/>
                          <a:ln w="9525">
                            <a:noFill/>
                            <a:miter lim="800000"/>
                            <a:headEnd/>
                            <a:tailEnd/>
                          </a:ln>
                        </pic:spPr>
                      </pic:pic>
                    </a:graphicData>
                  </a:graphic>
                </wp:inline>
              </w:drawing>
            </w:r>
          </w:p>
        </w:tc>
      </w:tr>
    </w:tbl>
    <w:p w:rsidR="00723E07" w:rsidRDefault="00723E07" w:rsidP="00723E07">
      <w:pPr>
        <w:pStyle w:val="NormalWeb"/>
        <w:spacing w:before="120" w:beforeAutospacing="0" w:after="120" w:afterAutospacing="0" w:line="360" w:lineRule="auto"/>
        <w:jc w:val="both"/>
      </w:pPr>
      <w:r w:rsidRPr="003015C7">
        <w:t xml:space="preserve">nourris au sein leur procureraient une protection contre les infections intestinales </w:t>
      </w:r>
      <w:r w:rsidRPr="00C30C8C">
        <w:rPr>
          <w:color w:val="0000FF"/>
        </w:rPr>
        <w:t xml:space="preserve">(Picard </w:t>
      </w:r>
      <w:r w:rsidRPr="00C30C8C">
        <w:rPr>
          <w:i/>
          <w:iCs/>
          <w:color w:val="0000FF"/>
        </w:rPr>
        <w:t>et al</w:t>
      </w:r>
      <w:r w:rsidRPr="00C30C8C">
        <w:rPr>
          <w:color w:val="0000FF"/>
        </w:rPr>
        <w:t>., 2005)</w:t>
      </w:r>
      <w:r w:rsidRPr="00C30C8C">
        <w:t>.</w:t>
      </w:r>
    </w:p>
    <w:p w:rsidR="00723E07" w:rsidRDefault="00723E07" w:rsidP="00723E07">
      <w:pPr>
        <w:pStyle w:val="NormalWeb"/>
        <w:spacing w:before="120" w:beforeAutospacing="0" w:after="120" w:afterAutospacing="0" w:line="360" w:lineRule="auto"/>
        <w:ind w:firstLine="708"/>
        <w:jc w:val="both"/>
      </w:pPr>
      <w:r w:rsidRPr="003015C7">
        <w:t xml:space="preserve">Tel que souligné </w:t>
      </w:r>
      <w:r w:rsidRPr="00267112">
        <w:t xml:space="preserve">par </w:t>
      </w:r>
      <w:r w:rsidRPr="00267112">
        <w:rPr>
          <w:color w:val="0000FF"/>
        </w:rPr>
        <w:t xml:space="preserve">Servin </w:t>
      </w:r>
      <w:r w:rsidRPr="00267112">
        <w:rPr>
          <w:i/>
          <w:iCs/>
          <w:color w:val="0000FF"/>
        </w:rPr>
        <w:t>et al</w:t>
      </w:r>
      <w:r w:rsidRPr="00267112">
        <w:rPr>
          <w:color w:val="0000FF"/>
        </w:rPr>
        <w:t>. (2004)</w:t>
      </w:r>
      <w:r w:rsidRPr="00267112">
        <w:t>,</w:t>
      </w:r>
      <w:r w:rsidRPr="003015C7">
        <w:t xml:space="preserve"> il apparaît de plus en plus évident que les bactéries appartenant aux genres </w:t>
      </w:r>
      <w:r w:rsidRPr="003015C7">
        <w:rPr>
          <w:rStyle w:val="Accentuation"/>
        </w:rPr>
        <w:t>Bifidobacterium</w:t>
      </w:r>
      <w:r w:rsidRPr="003015C7">
        <w:t xml:space="preserve"> et </w:t>
      </w:r>
      <w:r w:rsidRPr="003015C7">
        <w:rPr>
          <w:rStyle w:val="Accentuation"/>
        </w:rPr>
        <w:t>Lactobacillus</w:t>
      </w:r>
      <w:r w:rsidRPr="003015C7">
        <w:t xml:space="preserve"> possèdent des activités antimicrobiennes qui participent au système de défense gastro-intestinal de l’hôte.</w:t>
      </w:r>
    </w:p>
    <w:p w:rsidR="00723E07" w:rsidRPr="003015C7" w:rsidRDefault="00723E07" w:rsidP="00723E07">
      <w:pPr>
        <w:pStyle w:val="NormalWeb"/>
        <w:spacing w:before="120" w:beforeAutospacing="0" w:after="120" w:afterAutospacing="0" w:line="360" w:lineRule="auto"/>
        <w:ind w:firstLine="708"/>
        <w:jc w:val="both"/>
      </w:pPr>
      <w:r w:rsidRPr="003015C7">
        <w:t>Il est ainsi intéressant d’améliorer la composition du microbiote intestinal par les aliments en apportant des bactéries transitoires. Le but étant d’augmenter le nombre et l’activité des micro-organismes possédant des propriétés bénéfiques à la santé</w:t>
      </w:r>
      <w:r>
        <w:t>.</w:t>
      </w:r>
    </w:p>
    <w:p w:rsidR="00723E07" w:rsidRPr="003015C7" w:rsidRDefault="00723E07" w:rsidP="00723E07">
      <w:pPr>
        <w:pStyle w:val="Titre4"/>
        <w:spacing w:before="120" w:after="120" w:line="360" w:lineRule="auto"/>
        <w:jc w:val="both"/>
        <w:rPr>
          <w:sz w:val="24"/>
          <w:szCs w:val="24"/>
        </w:rPr>
      </w:pPr>
      <w:r w:rsidRPr="003015C7">
        <w:rPr>
          <w:sz w:val="24"/>
          <w:szCs w:val="24"/>
        </w:rPr>
        <w:t>1.3.1 Modulations des mécanismes de la réponse immunitaire</w:t>
      </w:r>
    </w:p>
    <w:p w:rsidR="00723E07" w:rsidRPr="003015C7" w:rsidRDefault="00723E07" w:rsidP="00723E07">
      <w:pPr>
        <w:pStyle w:val="NormalWeb"/>
        <w:spacing w:before="120" w:beforeAutospacing="0" w:after="120" w:afterAutospacing="0" w:line="360" w:lineRule="auto"/>
        <w:ind w:firstLine="708"/>
        <w:jc w:val="both"/>
      </w:pPr>
      <w:r w:rsidRPr="003015C7">
        <w:t xml:space="preserve">L’hôte possède également des défenses immunologiques lui permettant de répondre spécifiquement aux pathogènes entériques. Lorsque ces pathogènes sont en contact avec l’intestin, une réponse immune peut se produire à partir de sites d’induction constitués de tissus organisés tels que les follicules lymphoïdes (Plaques de Peyers et nodules lymphatiques mésentériques) et s’exprimer à partir des sites effecteurs représentés par un nombre élevé de cellules immunocompétentes situées au niveau de la </w:t>
      </w:r>
      <w:r w:rsidRPr="003015C7">
        <w:rPr>
          <w:rStyle w:val="Accentuation"/>
        </w:rPr>
        <w:t>lamina propria</w:t>
      </w:r>
      <w:r w:rsidRPr="003015C7">
        <w:t xml:space="preserve"> et de l’épithélium mucosal </w:t>
      </w:r>
      <w:r w:rsidRPr="00267112">
        <w:rPr>
          <w:color w:val="0000FF"/>
        </w:rPr>
        <w:t>(Gill, 2003)</w:t>
      </w:r>
      <w:r w:rsidRPr="003015C7">
        <w:rPr>
          <w:color w:val="FF0000"/>
        </w:rPr>
        <w:t xml:space="preserve"> </w:t>
      </w:r>
      <w:r w:rsidRPr="000F563A">
        <w:rPr>
          <w:color w:val="0000FF"/>
        </w:rPr>
        <w:t xml:space="preserve">(Figure </w:t>
      </w:r>
      <w:r>
        <w:rPr>
          <w:color w:val="0000FF"/>
        </w:rPr>
        <w:t>8</w:t>
      </w:r>
      <w:r w:rsidRPr="000F563A">
        <w:rPr>
          <w:color w:val="0000FF"/>
        </w:rPr>
        <w:t>).</w:t>
      </w:r>
      <w:r w:rsidRPr="003015C7">
        <w:t xml:space="preserve"> </w:t>
      </w:r>
    </w:p>
    <w:p w:rsidR="00723E07" w:rsidRPr="003015C7" w:rsidRDefault="00723E07" w:rsidP="00723E07">
      <w:pPr>
        <w:spacing w:before="120" w:after="120" w:line="360" w:lineRule="auto"/>
        <w:jc w:val="both"/>
      </w:pPr>
      <w:r>
        <w:rPr>
          <w:noProof/>
        </w:rPr>
        <w:lastRenderedPageBreak/>
        <w:drawing>
          <wp:inline distT="0" distB="0" distL="0" distR="0">
            <wp:extent cx="5636252" cy="5008815"/>
            <wp:effectExtent l="19050" t="0" r="2548" b="0"/>
            <wp:docPr id="22" name="Image 12" descr="Figure 1.13 : Le système immunitaire intestinal. Tiré et traduit de Magalhaes et al.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e 1.13 : Le système immunitaire intestinal. Tiré et traduit de Magalhaes et al. (2007)."/>
                    <pic:cNvPicPr>
                      <a:picLocks noChangeAspect="1" noChangeArrowheads="1"/>
                    </pic:cNvPicPr>
                  </pic:nvPicPr>
                  <pic:blipFill>
                    <a:blip r:embed="rId15"/>
                    <a:srcRect/>
                    <a:stretch>
                      <a:fillRect/>
                    </a:stretch>
                  </pic:blipFill>
                  <pic:spPr bwMode="auto">
                    <a:xfrm>
                      <a:off x="0" y="0"/>
                      <a:ext cx="5638800" cy="5011079"/>
                    </a:xfrm>
                    <a:prstGeom prst="rect">
                      <a:avLst/>
                    </a:prstGeom>
                    <a:noFill/>
                    <a:ln w="9525">
                      <a:noFill/>
                      <a:miter lim="800000"/>
                      <a:headEnd/>
                      <a:tailEnd/>
                    </a:ln>
                  </pic:spPr>
                </pic:pic>
              </a:graphicData>
            </a:graphic>
          </wp:inline>
        </w:drawing>
      </w:r>
    </w:p>
    <w:p w:rsidR="00723E07" w:rsidRDefault="00723E07" w:rsidP="00723E07">
      <w:pPr>
        <w:spacing w:before="120" w:after="120" w:line="360" w:lineRule="auto"/>
        <w:jc w:val="both"/>
        <w:rPr>
          <w:b/>
          <w:bCs/>
          <w:u w:val="single"/>
        </w:rPr>
      </w:pPr>
    </w:p>
    <w:p w:rsidR="00723E07" w:rsidRPr="003015C7" w:rsidRDefault="00723E07" w:rsidP="00723E07">
      <w:pPr>
        <w:spacing w:before="120" w:after="120"/>
        <w:jc w:val="both"/>
      </w:pPr>
      <w:r>
        <w:rPr>
          <w:b/>
          <w:bCs/>
          <w:u w:val="single"/>
        </w:rPr>
        <w:t>F</w:t>
      </w:r>
      <w:r w:rsidRPr="003E092F">
        <w:rPr>
          <w:b/>
          <w:bCs/>
          <w:u w:val="single"/>
        </w:rPr>
        <w:t xml:space="preserve">igure </w:t>
      </w:r>
      <w:r>
        <w:rPr>
          <w:b/>
          <w:bCs/>
          <w:u w:val="single"/>
        </w:rPr>
        <w:t>8</w:t>
      </w:r>
      <w:r w:rsidRPr="003015C7">
        <w:rPr>
          <w:b/>
          <w:bCs/>
        </w:rPr>
        <w:t xml:space="preserve"> : </w:t>
      </w:r>
      <w:r w:rsidRPr="003015C7">
        <w:t>Le système immunitaire intestinal.</w:t>
      </w:r>
    </w:p>
    <w:p w:rsidR="00723E07" w:rsidRDefault="00723E07" w:rsidP="00723E07">
      <w:pPr>
        <w:pStyle w:val="NormalWeb"/>
        <w:spacing w:before="120" w:beforeAutospacing="0" w:after="120" w:afterAutospacing="0" w:line="360" w:lineRule="auto"/>
        <w:ind w:firstLine="708"/>
        <w:jc w:val="both"/>
      </w:pPr>
    </w:p>
    <w:p w:rsidR="00723E07" w:rsidRDefault="00723E07" w:rsidP="00723E07">
      <w:pPr>
        <w:pStyle w:val="NormalWeb"/>
        <w:spacing w:before="120" w:beforeAutospacing="0" w:after="120" w:afterAutospacing="0" w:line="360" w:lineRule="auto"/>
        <w:ind w:firstLine="708"/>
        <w:jc w:val="both"/>
      </w:pPr>
      <w:r w:rsidRPr="003015C7">
        <w:t xml:space="preserve">Le système de défense contre l’intrusion de pathogènes entériques inclut l’immunité adaptative et innée. L’immunité adaptative est typiquement observée 4 à 7 jours après l’infection, et ce mécanisme implique la génération d’une mémoire immunologique et l’expansion des récepteurs appropriés. </w:t>
      </w:r>
    </w:p>
    <w:p w:rsidR="00723E07" w:rsidRDefault="00723E07" w:rsidP="00723E07">
      <w:pPr>
        <w:pStyle w:val="NormalWeb"/>
        <w:spacing w:before="120" w:beforeAutospacing="0" w:after="120" w:afterAutospacing="0" w:line="360" w:lineRule="auto"/>
        <w:ind w:firstLine="708"/>
        <w:jc w:val="both"/>
      </w:pPr>
      <w:r w:rsidRPr="003015C7">
        <w:t>Après un contact avec un antigène ou un micro-organisme, le système immunitaire répond par la production d’anticorps protecteurs (IgG, IgA) et par l’activation de cellules T CD4</w:t>
      </w:r>
      <w:r w:rsidRPr="003015C7">
        <w:rPr>
          <w:vertAlign w:val="superscript"/>
        </w:rPr>
        <w:t>+</w:t>
      </w:r>
      <w:r w:rsidRPr="003015C7">
        <w:t xml:space="preserve"> ou CD8</w:t>
      </w:r>
      <w:r w:rsidRPr="003015C7">
        <w:rPr>
          <w:vertAlign w:val="superscript"/>
        </w:rPr>
        <w:t>+</w:t>
      </w:r>
      <w:r w:rsidRPr="003015C7">
        <w:t xml:space="preserve">. Cette immunité spécifique peut être locale pour la protection des muqueuses (IgA), ou périphérique (IgG) pour une réponse plus générale de l’organisme </w:t>
      </w:r>
      <w:r w:rsidRPr="00267112">
        <w:rPr>
          <w:color w:val="0000FF"/>
        </w:rPr>
        <w:t xml:space="preserve">(Boclé </w:t>
      </w:r>
      <w:r w:rsidRPr="00267112">
        <w:rPr>
          <w:i/>
          <w:iCs/>
          <w:color w:val="0000FF"/>
        </w:rPr>
        <w:t>et al</w:t>
      </w:r>
      <w:r w:rsidRPr="00267112">
        <w:rPr>
          <w:color w:val="0000FF"/>
        </w:rPr>
        <w:t>., 2005)</w:t>
      </w:r>
      <w:r w:rsidRPr="00267112">
        <w:t>.</w:t>
      </w:r>
      <w:r w:rsidRPr="003015C7">
        <w:t xml:space="preserve"> </w:t>
      </w:r>
    </w:p>
    <w:p w:rsidR="00723E07" w:rsidRDefault="00723E07" w:rsidP="00723E07">
      <w:pPr>
        <w:pStyle w:val="NormalWeb"/>
        <w:spacing w:before="120" w:beforeAutospacing="0" w:after="120" w:afterAutospacing="0" w:line="360" w:lineRule="auto"/>
        <w:ind w:firstLine="708"/>
        <w:jc w:val="both"/>
      </w:pPr>
      <w:r w:rsidRPr="003015C7">
        <w:lastRenderedPageBreak/>
        <w:t>Au contraire, l’immunité innée est mobilisée dès les premiers jours pour contrôler l’infection</w:t>
      </w:r>
      <w:r w:rsidRPr="003015C7">
        <w:rPr>
          <w:color w:val="FF0000"/>
        </w:rPr>
        <w:t xml:space="preserve"> </w:t>
      </w:r>
      <w:r w:rsidRPr="00267112">
        <w:rPr>
          <w:color w:val="0000FF"/>
        </w:rPr>
        <w:t>(Liévin-Le Moal et Servin, 2006)</w:t>
      </w:r>
      <w:r w:rsidRPr="00267112">
        <w:t>.</w:t>
      </w:r>
      <w:r w:rsidRPr="003015C7">
        <w:rPr>
          <w:color w:val="FF0000"/>
        </w:rPr>
        <w:t xml:space="preserve"> </w:t>
      </w:r>
      <w:r w:rsidRPr="003015C7">
        <w:t>L’immunité innée utilise essentiellement des mécanismes visant à éliminer de façon rapide et non spécifique</w:t>
      </w:r>
      <w:r>
        <w:t xml:space="preserve"> des micro</w:t>
      </w:r>
      <w:r w:rsidRPr="003015C7">
        <w:t xml:space="preserve">organismes pathogènes par les phagocytes ou à éliminer des molécules du non soi par la stimulation de l’activité des lymphocytes natural killer (NK) </w:t>
      </w:r>
      <w:r w:rsidRPr="00267112">
        <w:rPr>
          <w:color w:val="0000FF"/>
        </w:rPr>
        <w:t xml:space="preserve">(Boclé </w:t>
      </w:r>
      <w:r w:rsidRPr="00267112">
        <w:rPr>
          <w:i/>
          <w:iCs/>
          <w:color w:val="0000FF"/>
        </w:rPr>
        <w:t>et al</w:t>
      </w:r>
      <w:r w:rsidRPr="00267112">
        <w:rPr>
          <w:color w:val="0000FF"/>
        </w:rPr>
        <w:t>., 2005)</w:t>
      </w:r>
      <w:r w:rsidRPr="00267112">
        <w:t xml:space="preserve">. </w:t>
      </w:r>
    </w:p>
    <w:p w:rsidR="00723E07" w:rsidRPr="003015C7" w:rsidRDefault="00723E07" w:rsidP="00723E07">
      <w:pPr>
        <w:pStyle w:val="NormalWeb"/>
        <w:spacing w:before="120" w:beforeAutospacing="0" w:after="120" w:afterAutospacing="0" w:line="360" w:lineRule="auto"/>
        <w:ind w:firstLine="708"/>
        <w:jc w:val="both"/>
      </w:pPr>
      <w:r w:rsidRPr="003015C7">
        <w:t xml:space="preserve">Contrairement au système immunitaire adaptatif qui utilise un répertoire hautement diversifié et clonal, le système immun inné utilise des ensembles de molécules de reconnaissance non clonales </w:t>
      </w:r>
      <w:r w:rsidRPr="00267112">
        <w:rPr>
          <w:color w:val="0000FF"/>
        </w:rPr>
        <w:t>(Liévin-Le Moal et Servin, 2006)</w:t>
      </w:r>
      <w:r w:rsidRPr="00267112">
        <w:t>.</w:t>
      </w:r>
    </w:p>
    <w:p w:rsidR="00723E07" w:rsidRDefault="00723E07" w:rsidP="00723E07">
      <w:pPr>
        <w:pStyle w:val="NormalWeb"/>
        <w:spacing w:before="120" w:beforeAutospacing="0" w:after="120" w:afterAutospacing="0" w:line="360" w:lineRule="auto"/>
        <w:ind w:firstLine="708"/>
        <w:jc w:val="both"/>
      </w:pPr>
      <w:r w:rsidRPr="003015C7">
        <w:t xml:space="preserve">Le développement des connaissances sur la façon dont l’hôte distingue entre les bactéries intestinales résidentes et les micro-organismes pathogènes a révélé que l’hôte possède des systèmes hautement sophistiqués pour détecter les antigènes qui appartiennent aux micro-organismes néfastes </w:t>
      </w:r>
      <w:r w:rsidRPr="00267112">
        <w:rPr>
          <w:color w:val="0000FF"/>
        </w:rPr>
        <w:t xml:space="preserve">(Magalhaes </w:t>
      </w:r>
      <w:r w:rsidRPr="00267112">
        <w:rPr>
          <w:i/>
          <w:iCs/>
          <w:color w:val="0000FF"/>
        </w:rPr>
        <w:t>et al</w:t>
      </w:r>
      <w:r w:rsidRPr="00267112">
        <w:rPr>
          <w:color w:val="0000FF"/>
        </w:rPr>
        <w:t>., 2007)</w:t>
      </w:r>
      <w:r w:rsidRPr="00267112">
        <w:t>.</w:t>
      </w:r>
      <w:r w:rsidRPr="003015C7">
        <w:t xml:space="preserve"> De plus, il a été suggéré récemment que certaines bactéries pourraient renforcer les défenses immunes de l’hôte contre l’intrusion de pathogènes</w:t>
      </w:r>
      <w:r>
        <w:t>.</w:t>
      </w:r>
    </w:p>
    <w:p w:rsidR="00723E07" w:rsidRDefault="00723E07" w:rsidP="00723E07">
      <w:pPr>
        <w:pStyle w:val="NormalWeb"/>
        <w:spacing w:before="120" w:beforeAutospacing="0" w:after="120" w:afterAutospacing="0" w:line="360" w:lineRule="auto"/>
        <w:ind w:firstLine="708"/>
        <w:jc w:val="both"/>
      </w:pPr>
    </w:p>
    <w:p w:rsidR="00723E07" w:rsidRDefault="00723E07" w:rsidP="00723E07">
      <w:pPr>
        <w:pStyle w:val="NormalWeb"/>
        <w:spacing w:before="120" w:beforeAutospacing="0" w:after="120" w:afterAutospacing="0" w:line="360" w:lineRule="auto"/>
        <w:ind w:firstLine="708"/>
        <w:jc w:val="both"/>
      </w:pPr>
    </w:p>
    <w:p w:rsidR="00723E07" w:rsidRDefault="00723E07" w:rsidP="00723E07">
      <w:pPr>
        <w:pStyle w:val="NormalWeb"/>
        <w:spacing w:before="120" w:beforeAutospacing="0" w:after="120" w:afterAutospacing="0" w:line="360" w:lineRule="auto"/>
        <w:ind w:firstLine="708"/>
        <w:jc w:val="both"/>
      </w:pPr>
    </w:p>
    <w:p w:rsidR="00723E07" w:rsidRDefault="00723E07" w:rsidP="00723E07">
      <w:pPr>
        <w:pStyle w:val="NormalWeb"/>
        <w:spacing w:before="120" w:beforeAutospacing="0" w:after="120" w:afterAutospacing="0" w:line="360" w:lineRule="auto"/>
        <w:ind w:firstLine="708"/>
        <w:jc w:val="both"/>
      </w:pPr>
    </w:p>
    <w:p w:rsidR="00723E07" w:rsidRDefault="00723E07" w:rsidP="00723E07">
      <w:pPr>
        <w:pStyle w:val="NormalWeb"/>
        <w:spacing w:before="120" w:beforeAutospacing="0" w:after="120" w:afterAutospacing="0" w:line="360" w:lineRule="auto"/>
        <w:ind w:firstLine="708"/>
        <w:jc w:val="both"/>
      </w:pPr>
    </w:p>
    <w:p w:rsidR="00723E07" w:rsidRPr="003015C7" w:rsidRDefault="00723E07" w:rsidP="00723E07">
      <w:pPr>
        <w:pStyle w:val="NormalWeb"/>
        <w:spacing w:before="120" w:beforeAutospacing="0" w:after="120" w:afterAutospacing="0" w:line="360" w:lineRule="auto"/>
        <w:ind w:firstLine="708"/>
        <w:jc w:val="both"/>
      </w:pPr>
    </w:p>
    <w:p w:rsidR="00242324" w:rsidRDefault="00242324"/>
    <w:sectPr w:rsidR="00242324" w:rsidSect="003C7ED5">
      <w:headerReference w:type="even" r:id="rId16"/>
      <w:headerReference w:type="default" r:id="rId17"/>
      <w:footerReference w:type="default" r:id="rId18"/>
      <w:pgSz w:w="11906" w:h="16838" w:code="9"/>
      <w:pgMar w:top="1259" w:right="1134" w:bottom="1259" w:left="2268" w:header="709" w:footer="709" w:gutter="0"/>
      <w:pgNumType w:start="2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82F3E" w:rsidRDefault="00582F3E" w:rsidP="00C436D2">
      <w:r>
        <w:separator/>
      </w:r>
    </w:p>
  </w:endnote>
  <w:endnote w:type="continuationSeparator" w:id="1">
    <w:p w:rsidR="00582F3E" w:rsidRDefault="00582F3E" w:rsidP="00C436D2">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4F98" w:rsidRPr="00C94E48" w:rsidRDefault="003C7ED5" w:rsidP="00D25D80">
    <w:pPr>
      <w:pStyle w:val="Pieddepage"/>
      <w:pBdr>
        <w:top w:val="single" w:sz="4" w:space="1" w:color="auto"/>
      </w:pBdr>
      <w:jc w:val="right"/>
      <w:rPr>
        <w:szCs w:val="20"/>
      </w:rPr>
    </w:pPr>
    <w:r w:rsidRPr="006378A5">
      <w:rPr>
        <w:i/>
        <w:sz w:val="20"/>
        <w:szCs w:val="20"/>
      </w:rPr>
      <w:t>Revue bibliographique</w:t>
    </w:r>
    <w:r>
      <w:rPr>
        <w:i/>
        <w:sz w:val="20"/>
        <w:szCs w:val="20"/>
      </w:rPr>
      <w:t xml:space="preserve"> : Chapitre </w:t>
    </w:r>
    <w:r w:rsidRPr="00D25D80">
      <w:rPr>
        <w:i/>
        <w:sz w:val="20"/>
        <w:szCs w:val="20"/>
      </w:rPr>
      <w:t>III</w:t>
    </w:r>
    <w:r>
      <w:rPr>
        <w:i/>
        <w:sz w:val="20"/>
        <w:szCs w:val="20"/>
      </w:rPr>
      <w:t xml:space="preserve"> : </w:t>
    </w:r>
    <w:r w:rsidRPr="00666B83">
      <w:rPr>
        <w:i/>
        <w:sz w:val="20"/>
        <w:szCs w:val="20"/>
      </w:rPr>
      <w:t>Les bactériocines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82F3E" w:rsidRDefault="00582F3E" w:rsidP="00C436D2">
      <w:r>
        <w:separator/>
      </w:r>
    </w:p>
  </w:footnote>
  <w:footnote w:type="continuationSeparator" w:id="1">
    <w:p w:rsidR="00582F3E" w:rsidRDefault="00582F3E" w:rsidP="00C436D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4F98" w:rsidRDefault="00C436D2" w:rsidP="00BC253D">
    <w:pPr>
      <w:pStyle w:val="En-tte"/>
      <w:framePr w:wrap="around" w:vAnchor="text" w:hAnchor="margin" w:xAlign="right" w:y="1"/>
      <w:rPr>
        <w:rStyle w:val="Numrodepage"/>
      </w:rPr>
    </w:pPr>
    <w:r>
      <w:rPr>
        <w:rStyle w:val="Numrodepage"/>
      </w:rPr>
      <w:fldChar w:fldCharType="begin"/>
    </w:r>
    <w:r w:rsidR="003C7ED5">
      <w:rPr>
        <w:rStyle w:val="Numrodepage"/>
      </w:rPr>
      <w:instrText xml:space="preserve">PAGE  </w:instrText>
    </w:r>
    <w:r>
      <w:rPr>
        <w:rStyle w:val="Numrodepage"/>
      </w:rPr>
      <w:fldChar w:fldCharType="end"/>
    </w:r>
  </w:p>
  <w:p w:rsidR="003E4F98" w:rsidRDefault="00582F3E" w:rsidP="00BC253D">
    <w:pPr>
      <w:pStyle w:val="En-tte"/>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4F98" w:rsidRDefault="00C436D2" w:rsidP="00BC253D">
    <w:pPr>
      <w:pStyle w:val="En-tte"/>
      <w:framePr w:wrap="around" w:vAnchor="text" w:hAnchor="page" w:x="11269" w:y="-168"/>
      <w:rPr>
        <w:rStyle w:val="Numrodepage"/>
      </w:rPr>
    </w:pPr>
    <w:r>
      <w:rPr>
        <w:rStyle w:val="Numrodepage"/>
      </w:rPr>
      <w:fldChar w:fldCharType="begin"/>
    </w:r>
    <w:r w:rsidR="003C7ED5">
      <w:rPr>
        <w:rStyle w:val="Numrodepage"/>
      </w:rPr>
      <w:instrText xml:space="preserve">PAGE  </w:instrText>
    </w:r>
    <w:r>
      <w:rPr>
        <w:rStyle w:val="Numrodepage"/>
      </w:rPr>
      <w:fldChar w:fldCharType="separate"/>
    </w:r>
    <w:r w:rsidR="001C2A4F">
      <w:rPr>
        <w:rStyle w:val="Numrodepage"/>
        <w:noProof/>
      </w:rPr>
      <w:t>50</w:t>
    </w:r>
    <w:r>
      <w:rPr>
        <w:rStyle w:val="Numrodepage"/>
      </w:rPr>
      <w:fldChar w:fldCharType="end"/>
    </w:r>
  </w:p>
  <w:p w:rsidR="003E4F98" w:rsidRPr="00F42064" w:rsidRDefault="003C7ED5" w:rsidP="00EB6A09">
    <w:pPr>
      <w:pStyle w:val="En-tte"/>
      <w:tabs>
        <w:tab w:val="clear" w:pos="9072"/>
        <w:tab w:val="right" w:pos="9540"/>
      </w:tabs>
      <w:ind w:left="-1440" w:right="-856"/>
      <w:jc w:val="center"/>
      <w:rPr>
        <w:i/>
        <w:sz w:val="14"/>
        <w:szCs w:val="14"/>
      </w:rPr>
    </w:pPr>
    <w:r w:rsidRPr="008E0A5B">
      <w:rPr>
        <w:rFonts w:ascii="Book Antiqua" w:hAnsi="Book Antiqua"/>
        <w:i/>
        <w:sz w:val="16"/>
        <w:szCs w:val="16"/>
      </w:rPr>
      <w:t xml:space="preserve">  </w:t>
    </w:r>
    <w:r w:rsidRPr="00F42064">
      <w:rPr>
        <w:iCs/>
        <w:noProof/>
        <w:sz w:val="14"/>
        <w:szCs w:val="14"/>
      </w:rPr>
      <w:t>B. Nawel.</w:t>
    </w:r>
    <w:r w:rsidRPr="00F42064">
      <w:rPr>
        <w:i/>
        <w:sz w:val="14"/>
        <w:szCs w:val="14"/>
      </w:rPr>
      <w:t xml:space="preserve"> </w:t>
    </w:r>
    <w:r w:rsidRPr="00F42064">
      <w:rPr>
        <w:iCs/>
        <w:sz w:val="14"/>
        <w:szCs w:val="14"/>
      </w:rPr>
      <w:t xml:space="preserve">Antagonisme de </w:t>
    </w:r>
    <w:r w:rsidRPr="00947F22">
      <w:rPr>
        <w:i/>
        <w:sz w:val="14"/>
        <w:szCs w:val="14"/>
      </w:rPr>
      <w:t>Bifidobacterium</w:t>
    </w:r>
    <w:r w:rsidRPr="00F42064">
      <w:rPr>
        <w:iCs/>
        <w:sz w:val="14"/>
        <w:szCs w:val="14"/>
      </w:rPr>
      <w:t xml:space="preserve"> sp et </w:t>
    </w:r>
    <w:r w:rsidRPr="00947F22">
      <w:rPr>
        <w:i/>
        <w:sz w:val="14"/>
        <w:szCs w:val="14"/>
      </w:rPr>
      <w:t>Lactobacillus rhamnosus</w:t>
    </w:r>
    <w:r w:rsidRPr="00F42064">
      <w:rPr>
        <w:iCs/>
        <w:sz w:val="14"/>
        <w:szCs w:val="14"/>
      </w:rPr>
      <w:t xml:space="preserve"> vis-à-vis de</w:t>
    </w:r>
    <w:r w:rsidRPr="00F42064">
      <w:rPr>
        <w:i/>
        <w:sz w:val="14"/>
        <w:szCs w:val="14"/>
      </w:rPr>
      <w:t xml:space="preserve"> </w:t>
    </w:r>
    <w:r w:rsidRPr="00F42064">
      <w:rPr>
        <w:iCs/>
        <w:sz w:val="14"/>
        <w:szCs w:val="14"/>
      </w:rPr>
      <w:t>quelques souches pathogènes. Magister. Hyg et séc agro-alimentaire. univ.</w:t>
    </w:r>
    <w:r>
      <w:rPr>
        <w:iCs/>
        <w:sz w:val="14"/>
        <w:szCs w:val="14"/>
      </w:rPr>
      <w:t xml:space="preserve"> </w:t>
    </w:r>
    <w:r w:rsidRPr="00F42064">
      <w:rPr>
        <w:iCs/>
        <w:sz w:val="14"/>
        <w:szCs w:val="14"/>
      </w:rPr>
      <w:t>Mosta</w:t>
    </w:r>
  </w:p>
  <w:p w:rsidR="003E4F98" w:rsidRPr="008E0A5B" w:rsidRDefault="00C436D2" w:rsidP="00EB6A09">
    <w:pPr>
      <w:pStyle w:val="En-tte"/>
      <w:tabs>
        <w:tab w:val="clear" w:pos="9072"/>
        <w:tab w:val="right" w:pos="9540"/>
      </w:tabs>
      <w:ind w:left="-180" w:right="-752" w:hanging="360"/>
      <w:jc w:val="center"/>
      <w:rPr>
        <w:rFonts w:ascii="Book Antiqua" w:hAnsi="Book Antiqua"/>
        <w:iCs/>
        <w:sz w:val="20"/>
        <w:szCs w:val="20"/>
      </w:rPr>
    </w:pPr>
    <w:r w:rsidRPr="00C436D2">
      <w:rPr>
        <w:iCs/>
        <w:noProof/>
        <w:sz w:val="16"/>
        <w:szCs w:val="16"/>
      </w:rPr>
      <w:pict>
        <v:line id="_x0000_s1025" style="position:absolute;left:0;text-align:left;z-index:251658240" from="-49.55pt,2.85pt" to="436.25pt,2.85pt" strokeweight=".25pt"/>
      </w:pict>
    </w:r>
  </w:p>
  <w:p w:rsidR="003E4F98" w:rsidRPr="00307CE9" w:rsidRDefault="00582F3E" w:rsidP="00EB6A09">
    <w:pPr>
      <w:pStyle w:val="En-tte"/>
      <w:tabs>
        <w:tab w:val="clear" w:pos="9072"/>
        <w:tab w:val="right" w:pos="9540"/>
      </w:tabs>
      <w:ind w:left="-180" w:right="-496" w:hanging="360"/>
      <w:jc w:val="center"/>
      <w:rPr>
        <w:rFonts w:ascii="Book Antiqua" w:hAnsi="Book Antiqua"/>
        <w:iCs/>
        <w:sz w:val="20"/>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8317B0"/>
    <w:multiLevelType w:val="multilevel"/>
    <w:tmpl w:val="2D1E3950"/>
    <w:lvl w:ilvl="0">
      <w:start w:val="1"/>
      <w:numFmt w:val="bullet"/>
      <w:lvlText w:val="o"/>
      <w:lvlJc w:val="left"/>
      <w:pPr>
        <w:tabs>
          <w:tab w:val="num" w:pos="720"/>
        </w:tabs>
        <w:ind w:left="720" w:hanging="360"/>
      </w:pPr>
      <w:rPr>
        <w:rFonts w:ascii="Courier New" w:hAnsi="Courier New" w:cs="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nsid w:val="06201E7F"/>
    <w:multiLevelType w:val="multilevel"/>
    <w:tmpl w:val="7068A98C"/>
    <w:lvl w:ilvl="0">
      <w:numFmt w:val="decimal"/>
      <w:lvlText w:val="%1"/>
      <w:lvlJc w:val="left"/>
      <w:pPr>
        <w:tabs>
          <w:tab w:val="num" w:pos="660"/>
        </w:tabs>
        <w:ind w:left="660" w:hanging="660"/>
      </w:pPr>
      <w:rPr>
        <w:rFonts w:hint="default"/>
      </w:rPr>
    </w:lvl>
    <w:lvl w:ilvl="1">
      <w:start w:val="16"/>
      <w:numFmt w:val="decimalZero"/>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0C2E6A65"/>
    <w:multiLevelType w:val="hybridMultilevel"/>
    <w:tmpl w:val="7F4610C6"/>
    <w:lvl w:ilvl="0" w:tplc="61BE0FF4">
      <w:start w:val="1"/>
      <w:numFmt w:val="bullet"/>
      <w:lvlText w:val=""/>
      <w:lvlJc w:val="left"/>
      <w:pPr>
        <w:tabs>
          <w:tab w:val="num" w:pos="1080"/>
        </w:tabs>
        <w:ind w:left="1080" w:hanging="360"/>
      </w:pPr>
      <w:rPr>
        <w:rFonts w:ascii="Symbol" w:eastAsia="Times New Roman" w:hAnsi="Symbol" w:cs="Times New Roman" w:hint="default"/>
      </w:rPr>
    </w:lvl>
    <w:lvl w:ilvl="1" w:tplc="040C0001">
      <w:start w:val="1"/>
      <w:numFmt w:val="bullet"/>
      <w:lvlText w:val=""/>
      <w:lvlJc w:val="left"/>
      <w:pPr>
        <w:tabs>
          <w:tab w:val="num" w:pos="1800"/>
        </w:tabs>
        <w:ind w:left="1800" w:hanging="360"/>
      </w:pPr>
      <w:rPr>
        <w:rFonts w:ascii="Symbol" w:hAnsi="Symbol"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
    <w:nsid w:val="17AB2FC4"/>
    <w:multiLevelType w:val="hybridMultilevel"/>
    <w:tmpl w:val="6E8A1D7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nsid w:val="19797BE0"/>
    <w:multiLevelType w:val="hybridMultilevel"/>
    <w:tmpl w:val="264454A4"/>
    <w:lvl w:ilvl="0" w:tplc="040C0001">
      <w:start w:val="1"/>
      <w:numFmt w:val="bullet"/>
      <w:lvlText w:val=""/>
      <w:lvlJc w:val="left"/>
      <w:pPr>
        <w:tabs>
          <w:tab w:val="num" w:pos="900"/>
        </w:tabs>
        <w:ind w:left="900" w:hanging="360"/>
      </w:pPr>
      <w:rPr>
        <w:rFonts w:ascii="Symbol" w:hAnsi="Symbol" w:hint="default"/>
      </w:rPr>
    </w:lvl>
    <w:lvl w:ilvl="1" w:tplc="5D6A0BDE">
      <w:start w:val="1"/>
      <w:numFmt w:val="bullet"/>
      <w:lvlText w:val="-"/>
      <w:lvlJc w:val="left"/>
      <w:pPr>
        <w:tabs>
          <w:tab w:val="num" w:pos="1481"/>
        </w:tabs>
        <w:ind w:left="1481" w:hanging="360"/>
      </w:pPr>
      <w:rPr>
        <w:rFonts w:ascii="Times New Roman" w:eastAsia="Times New Roman" w:hAnsi="Times New Roman" w:cs="Times New Roman" w:hint="default"/>
      </w:rPr>
    </w:lvl>
    <w:lvl w:ilvl="2" w:tplc="040C0005" w:tentative="1">
      <w:start w:val="1"/>
      <w:numFmt w:val="bullet"/>
      <w:lvlText w:val=""/>
      <w:lvlJc w:val="left"/>
      <w:pPr>
        <w:tabs>
          <w:tab w:val="num" w:pos="2201"/>
        </w:tabs>
        <w:ind w:left="2201" w:hanging="360"/>
      </w:pPr>
      <w:rPr>
        <w:rFonts w:ascii="Wingdings" w:hAnsi="Wingdings" w:hint="default"/>
      </w:rPr>
    </w:lvl>
    <w:lvl w:ilvl="3" w:tplc="040C0001" w:tentative="1">
      <w:start w:val="1"/>
      <w:numFmt w:val="bullet"/>
      <w:lvlText w:val=""/>
      <w:lvlJc w:val="left"/>
      <w:pPr>
        <w:tabs>
          <w:tab w:val="num" w:pos="2921"/>
        </w:tabs>
        <w:ind w:left="2921" w:hanging="360"/>
      </w:pPr>
      <w:rPr>
        <w:rFonts w:ascii="Symbol" w:hAnsi="Symbol" w:hint="default"/>
      </w:rPr>
    </w:lvl>
    <w:lvl w:ilvl="4" w:tplc="040C0003" w:tentative="1">
      <w:start w:val="1"/>
      <w:numFmt w:val="bullet"/>
      <w:lvlText w:val="o"/>
      <w:lvlJc w:val="left"/>
      <w:pPr>
        <w:tabs>
          <w:tab w:val="num" w:pos="3641"/>
        </w:tabs>
        <w:ind w:left="3641" w:hanging="360"/>
      </w:pPr>
      <w:rPr>
        <w:rFonts w:ascii="Courier New" w:hAnsi="Courier New" w:hint="default"/>
      </w:rPr>
    </w:lvl>
    <w:lvl w:ilvl="5" w:tplc="040C0005" w:tentative="1">
      <w:start w:val="1"/>
      <w:numFmt w:val="bullet"/>
      <w:lvlText w:val=""/>
      <w:lvlJc w:val="left"/>
      <w:pPr>
        <w:tabs>
          <w:tab w:val="num" w:pos="4361"/>
        </w:tabs>
        <w:ind w:left="4361" w:hanging="360"/>
      </w:pPr>
      <w:rPr>
        <w:rFonts w:ascii="Wingdings" w:hAnsi="Wingdings" w:hint="default"/>
      </w:rPr>
    </w:lvl>
    <w:lvl w:ilvl="6" w:tplc="040C0001" w:tentative="1">
      <w:start w:val="1"/>
      <w:numFmt w:val="bullet"/>
      <w:lvlText w:val=""/>
      <w:lvlJc w:val="left"/>
      <w:pPr>
        <w:tabs>
          <w:tab w:val="num" w:pos="5081"/>
        </w:tabs>
        <w:ind w:left="5081" w:hanging="360"/>
      </w:pPr>
      <w:rPr>
        <w:rFonts w:ascii="Symbol" w:hAnsi="Symbol" w:hint="default"/>
      </w:rPr>
    </w:lvl>
    <w:lvl w:ilvl="7" w:tplc="040C0003" w:tentative="1">
      <w:start w:val="1"/>
      <w:numFmt w:val="bullet"/>
      <w:lvlText w:val="o"/>
      <w:lvlJc w:val="left"/>
      <w:pPr>
        <w:tabs>
          <w:tab w:val="num" w:pos="5801"/>
        </w:tabs>
        <w:ind w:left="5801" w:hanging="360"/>
      </w:pPr>
      <w:rPr>
        <w:rFonts w:ascii="Courier New" w:hAnsi="Courier New" w:hint="default"/>
      </w:rPr>
    </w:lvl>
    <w:lvl w:ilvl="8" w:tplc="040C0005" w:tentative="1">
      <w:start w:val="1"/>
      <w:numFmt w:val="bullet"/>
      <w:lvlText w:val=""/>
      <w:lvlJc w:val="left"/>
      <w:pPr>
        <w:tabs>
          <w:tab w:val="num" w:pos="6521"/>
        </w:tabs>
        <w:ind w:left="6521" w:hanging="360"/>
      </w:pPr>
      <w:rPr>
        <w:rFonts w:ascii="Wingdings" w:hAnsi="Wingdings" w:hint="default"/>
      </w:rPr>
    </w:lvl>
  </w:abstractNum>
  <w:abstractNum w:abstractNumId="5">
    <w:nsid w:val="1C6751F2"/>
    <w:multiLevelType w:val="hybridMultilevel"/>
    <w:tmpl w:val="9A9E4A6A"/>
    <w:lvl w:ilvl="0" w:tplc="040C0011">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nsid w:val="1E682FE5"/>
    <w:multiLevelType w:val="multilevel"/>
    <w:tmpl w:val="7068D568"/>
    <w:lvl w:ilvl="0">
      <w:start w:val="1"/>
      <w:numFmt w:val="bullet"/>
      <w:lvlText w:val=""/>
      <w:lvlJc w:val="left"/>
      <w:pPr>
        <w:tabs>
          <w:tab w:val="num" w:pos="1260"/>
        </w:tabs>
        <w:ind w:left="1260" w:hanging="360"/>
      </w:pPr>
      <w:rPr>
        <w:rFonts w:ascii="Wingdings" w:hAnsi="Wingdings" w:hint="default"/>
      </w:rPr>
    </w:lvl>
    <w:lvl w:ilvl="1">
      <w:start w:val="1"/>
      <w:numFmt w:val="bullet"/>
      <w:lvlText w:val="o"/>
      <w:lvlJc w:val="left"/>
      <w:pPr>
        <w:tabs>
          <w:tab w:val="num" w:pos="1980"/>
        </w:tabs>
        <w:ind w:left="1980" w:hanging="360"/>
      </w:pPr>
      <w:rPr>
        <w:rFonts w:ascii="Courier New" w:hAnsi="Courier New" w:cs="Courier New" w:hint="default"/>
      </w:rPr>
    </w:lvl>
    <w:lvl w:ilvl="2">
      <w:start w:val="1"/>
      <w:numFmt w:val="bullet"/>
      <w:lvlText w:val=""/>
      <w:lvlJc w:val="left"/>
      <w:pPr>
        <w:tabs>
          <w:tab w:val="num" w:pos="2700"/>
        </w:tabs>
        <w:ind w:left="2700" w:hanging="360"/>
      </w:pPr>
      <w:rPr>
        <w:rFonts w:ascii="Wingdings" w:hAnsi="Wingdings" w:hint="default"/>
      </w:rPr>
    </w:lvl>
    <w:lvl w:ilvl="3">
      <w:start w:val="1"/>
      <w:numFmt w:val="bullet"/>
      <w:lvlText w:val=""/>
      <w:lvlJc w:val="left"/>
      <w:pPr>
        <w:tabs>
          <w:tab w:val="num" w:pos="3420"/>
        </w:tabs>
        <w:ind w:left="3420" w:hanging="360"/>
      </w:pPr>
      <w:rPr>
        <w:rFonts w:ascii="Symbol" w:hAnsi="Symbol" w:hint="default"/>
      </w:rPr>
    </w:lvl>
    <w:lvl w:ilvl="4">
      <w:start w:val="1"/>
      <w:numFmt w:val="bullet"/>
      <w:lvlText w:val="o"/>
      <w:lvlJc w:val="left"/>
      <w:pPr>
        <w:tabs>
          <w:tab w:val="num" w:pos="4140"/>
        </w:tabs>
        <w:ind w:left="4140" w:hanging="360"/>
      </w:pPr>
      <w:rPr>
        <w:rFonts w:ascii="Courier New" w:hAnsi="Courier New" w:cs="Courier New" w:hint="default"/>
      </w:rPr>
    </w:lvl>
    <w:lvl w:ilvl="5">
      <w:start w:val="1"/>
      <w:numFmt w:val="bullet"/>
      <w:lvlText w:val=""/>
      <w:lvlJc w:val="left"/>
      <w:pPr>
        <w:tabs>
          <w:tab w:val="num" w:pos="4860"/>
        </w:tabs>
        <w:ind w:left="4860" w:hanging="360"/>
      </w:pPr>
      <w:rPr>
        <w:rFonts w:ascii="Wingdings" w:hAnsi="Wingdings" w:hint="default"/>
      </w:rPr>
    </w:lvl>
    <w:lvl w:ilvl="6">
      <w:start w:val="1"/>
      <w:numFmt w:val="bullet"/>
      <w:lvlText w:val=""/>
      <w:lvlJc w:val="left"/>
      <w:pPr>
        <w:tabs>
          <w:tab w:val="num" w:pos="5580"/>
        </w:tabs>
        <w:ind w:left="5580" w:hanging="360"/>
      </w:pPr>
      <w:rPr>
        <w:rFonts w:ascii="Symbol" w:hAnsi="Symbol" w:hint="default"/>
      </w:rPr>
    </w:lvl>
    <w:lvl w:ilvl="7">
      <w:start w:val="1"/>
      <w:numFmt w:val="bullet"/>
      <w:lvlText w:val="o"/>
      <w:lvlJc w:val="left"/>
      <w:pPr>
        <w:tabs>
          <w:tab w:val="num" w:pos="6300"/>
        </w:tabs>
        <w:ind w:left="6300" w:hanging="360"/>
      </w:pPr>
      <w:rPr>
        <w:rFonts w:ascii="Courier New" w:hAnsi="Courier New" w:cs="Courier New" w:hint="default"/>
      </w:rPr>
    </w:lvl>
    <w:lvl w:ilvl="8">
      <w:start w:val="1"/>
      <w:numFmt w:val="bullet"/>
      <w:lvlText w:val=""/>
      <w:lvlJc w:val="left"/>
      <w:pPr>
        <w:tabs>
          <w:tab w:val="num" w:pos="7020"/>
        </w:tabs>
        <w:ind w:left="7020" w:hanging="360"/>
      </w:pPr>
      <w:rPr>
        <w:rFonts w:ascii="Wingdings" w:hAnsi="Wingdings" w:hint="default"/>
      </w:rPr>
    </w:lvl>
  </w:abstractNum>
  <w:abstractNum w:abstractNumId="7">
    <w:nsid w:val="275E0A3F"/>
    <w:multiLevelType w:val="hybridMultilevel"/>
    <w:tmpl w:val="2B4AF904"/>
    <w:lvl w:ilvl="0" w:tplc="DD4C666E">
      <w:start w:val="1"/>
      <w:numFmt w:val="decimal"/>
      <w:lvlText w:val="%1)"/>
      <w:lvlJc w:val="left"/>
      <w:pPr>
        <w:tabs>
          <w:tab w:val="num" w:pos="720"/>
        </w:tabs>
        <w:ind w:left="720" w:hanging="360"/>
      </w:pPr>
      <w:rPr>
        <w:rFonts w:hint="default"/>
        <w:b/>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8">
    <w:nsid w:val="2CF45232"/>
    <w:multiLevelType w:val="hybridMultilevel"/>
    <w:tmpl w:val="2B76DCF4"/>
    <w:lvl w:ilvl="0" w:tplc="040C0001">
      <w:start w:val="1"/>
      <w:numFmt w:val="bullet"/>
      <w:lvlText w:val=""/>
      <w:lvlJc w:val="left"/>
      <w:pPr>
        <w:tabs>
          <w:tab w:val="num" w:pos="1260"/>
        </w:tabs>
        <w:ind w:left="1260" w:hanging="360"/>
      </w:pPr>
      <w:rPr>
        <w:rFonts w:ascii="Symbol" w:hAnsi="Symbol"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9">
    <w:nsid w:val="31D33A9F"/>
    <w:multiLevelType w:val="hybridMultilevel"/>
    <w:tmpl w:val="7068D568"/>
    <w:lvl w:ilvl="0" w:tplc="040C0009">
      <w:start w:val="1"/>
      <w:numFmt w:val="bullet"/>
      <w:lvlText w:val=""/>
      <w:lvlJc w:val="left"/>
      <w:pPr>
        <w:tabs>
          <w:tab w:val="num" w:pos="1260"/>
        </w:tabs>
        <w:ind w:left="1260" w:hanging="360"/>
      </w:pPr>
      <w:rPr>
        <w:rFonts w:ascii="Wingdings" w:hAnsi="Wingdings"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10">
    <w:nsid w:val="369A7430"/>
    <w:multiLevelType w:val="hybridMultilevel"/>
    <w:tmpl w:val="654C78C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nsid w:val="3AA05300"/>
    <w:multiLevelType w:val="hybridMultilevel"/>
    <w:tmpl w:val="E9FC1BA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3EF27903"/>
    <w:multiLevelType w:val="hybridMultilevel"/>
    <w:tmpl w:val="78A4A372"/>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40B52183"/>
    <w:multiLevelType w:val="hybridMultilevel"/>
    <w:tmpl w:val="9298726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nsid w:val="47705A16"/>
    <w:multiLevelType w:val="hybridMultilevel"/>
    <w:tmpl w:val="77EE889E"/>
    <w:lvl w:ilvl="0" w:tplc="0409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499052E7"/>
    <w:multiLevelType w:val="hybridMultilevel"/>
    <w:tmpl w:val="676620EE"/>
    <w:lvl w:ilvl="0" w:tplc="040C0009">
      <w:start w:val="1"/>
      <w:numFmt w:val="bullet"/>
      <w:lvlText w:val=""/>
      <w:lvlJc w:val="left"/>
      <w:pPr>
        <w:tabs>
          <w:tab w:val="num" w:pos="1259"/>
        </w:tabs>
        <w:ind w:left="1259" w:hanging="360"/>
      </w:pPr>
      <w:rPr>
        <w:rFonts w:ascii="Wingdings" w:hAnsi="Wingdings" w:hint="default"/>
      </w:rPr>
    </w:lvl>
    <w:lvl w:ilvl="1" w:tplc="040C0003" w:tentative="1">
      <w:start w:val="1"/>
      <w:numFmt w:val="bullet"/>
      <w:lvlText w:val="o"/>
      <w:lvlJc w:val="left"/>
      <w:pPr>
        <w:tabs>
          <w:tab w:val="num" w:pos="1979"/>
        </w:tabs>
        <w:ind w:left="1979" w:hanging="360"/>
      </w:pPr>
      <w:rPr>
        <w:rFonts w:ascii="Courier New" w:hAnsi="Courier New" w:cs="Courier New" w:hint="default"/>
      </w:rPr>
    </w:lvl>
    <w:lvl w:ilvl="2" w:tplc="040C0005" w:tentative="1">
      <w:start w:val="1"/>
      <w:numFmt w:val="bullet"/>
      <w:lvlText w:val=""/>
      <w:lvlJc w:val="left"/>
      <w:pPr>
        <w:tabs>
          <w:tab w:val="num" w:pos="2699"/>
        </w:tabs>
        <w:ind w:left="2699" w:hanging="360"/>
      </w:pPr>
      <w:rPr>
        <w:rFonts w:ascii="Wingdings" w:hAnsi="Wingdings" w:hint="default"/>
      </w:rPr>
    </w:lvl>
    <w:lvl w:ilvl="3" w:tplc="040C0001" w:tentative="1">
      <w:start w:val="1"/>
      <w:numFmt w:val="bullet"/>
      <w:lvlText w:val=""/>
      <w:lvlJc w:val="left"/>
      <w:pPr>
        <w:tabs>
          <w:tab w:val="num" w:pos="3419"/>
        </w:tabs>
        <w:ind w:left="3419" w:hanging="360"/>
      </w:pPr>
      <w:rPr>
        <w:rFonts w:ascii="Symbol" w:hAnsi="Symbol" w:hint="default"/>
      </w:rPr>
    </w:lvl>
    <w:lvl w:ilvl="4" w:tplc="040C0003" w:tentative="1">
      <w:start w:val="1"/>
      <w:numFmt w:val="bullet"/>
      <w:lvlText w:val="o"/>
      <w:lvlJc w:val="left"/>
      <w:pPr>
        <w:tabs>
          <w:tab w:val="num" w:pos="4139"/>
        </w:tabs>
        <w:ind w:left="4139" w:hanging="360"/>
      </w:pPr>
      <w:rPr>
        <w:rFonts w:ascii="Courier New" w:hAnsi="Courier New" w:cs="Courier New" w:hint="default"/>
      </w:rPr>
    </w:lvl>
    <w:lvl w:ilvl="5" w:tplc="040C0005" w:tentative="1">
      <w:start w:val="1"/>
      <w:numFmt w:val="bullet"/>
      <w:lvlText w:val=""/>
      <w:lvlJc w:val="left"/>
      <w:pPr>
        <w:tabs>
          <w:tab w:val="num" w:pos="4859"/>
        </w:tabs>
        <w:ind w:left="4859" w:hanging="360"/>
      </w:pPr>
      <w:rPr>
        <w:rFonts w:ascii="Wingdings" w:hAnsi="Wingdings" w:hint="default"/>
      </w:rPr>
    </w:lvl>
    <w:lvl w:ilvl="6" w:tplc="040C0001" w:tentative="1">
      <w:start w:val="1"/>
      <w:numFmt w:val="bullet"/>
      <w:lvlText w:val=""/>
      <w:lvlJc w:val="left"/>
      <w:pPr>
        <w:tabs>
          <w:tab w:val="num" w:pos="5579"/>
        </w:tabs>
        <w:ind w:left="5579" w:hanging="360"/>
      </w:pPr>
      <w:rPr>
        <w:rFonts w:ascii="Symbol" w:hAnsi="Symbol" w:hint="default"/>
      </w:rPr>
    </w:lvl>
    <w:lvl w:ilvl="7" w:tplc="040C0003" w:tentative="1">
      <w:start w:val="1"/>
      <w:numFmt w:val="bullet"/>
      <w:lvlText w:val="o"/>
      <w:lvlJc w:val="left"/>
      <w:pPr>
        <w:tabs>
          <w:tab w:val="num" w:pos="6299"/>
        </w:tabs>
        <w:ind w:left="6299" w:hanging="360"/>
      </w:pPr>
      <w:rPr>
        <w:rFonts w:ascii="Courier New" w:hAnsi="Courier New" w:cs="Courier New" w:hint="default"/>
      </w:rPr>
    </w:lvl>
    <w:lvl w:ilvl="8" w:tplc="040C0005" w:tentative="1">
      <w:start w:val="1"/>
      <w:numFmt w:val="bullet"/>
      <w:lvlText w:val=""/>
      <w:lvlJc w:val="left"/>
      <w:pPr>
        <w:tabs>
          <w:tab w:val="num" w:pos="7019"/>
        </w:tabs>
        <w:ind w:left="7019" w:hanging="360"/>
      </w:pPr>
      <w:rPr>
        <w:rFonts w:ascii="Wingdings" w:hAnsi="Wingdings" w:hint="default"/>
      </w:rPr>
    </w:lvl>
  </w:abstractNum>
  <w:abstractNum w:abstractNumId="16">
    <w:nsid w:val="4CAC2605"/>
    <w:multiLevelType w:val="hybridMultilevel"/>
    <w:tmpl w:val="8068A012"/>
    <w:lvl w:ilvl="0" w:tplc="040C0001">
      <w:start w:val="1"/>
      <w:numFmt w:val="bullet"/>
      <w:lvlText w:val=""/>
      <w:lvlJc w:val="left"/>
      <w:pPr>
        <w:tabs>
          <w:tab w:val="num" w:pos="1259"/>
        </w:tabs>
        <w:ind w:left="1259" w:hanging="360"/>
      </w:pPr>
      <w:rPr>
        <w:rFonts w:ascii="Symbol" w:hAnsi="Symbol" w:hint="default"/>
      </w:rPr>
    </w:lvl>
    <w:lvl w:ilvl="1" w:tplc="040C0003" w:tentative="1">
      <w:start w:val="1"/>
      <w:numFmt w:val="bullet"/>
      <w:lvlText w:val="o"/>
      <w:lvlJc w:val="left"/>
      <w:pPr>
        <w:tabs>
          <w:tab w:val="num" w:pos="1979"/>
        </w:tabs>
        <w:ind w:left="1979" w:hanging="360"/>
      </w:pPr>
      <w:rPr>
        <w:rFonts w:ascii="Courier New" w:hAnsi="Courier New" w:cs="Courier New" w:hint="default"/>
      </w:rPr>
    </w:lvl>
    <w:lvl w:ilvl="2" w:tplc="040C0005" w:tentative="1">
      <w:start w:val="1"/>
      <w:numFmt w:val="bullet"/>
      <w:lvlText w:val=""/>
      <w:lvlJc w:val="left"/>
      <w:pPr>
        <w:tabs>
          <w:tab w:val="num" w:pos="2699"/>
        </w:tabs>
        <w:ind w:left="2699" w:hanging="360"/>
      </w:pPr>
      <w:rPr>
        <w:rFonts w:ascii="Wingdings" w:hAnsi="Wingdings" w:hint="default"/>
      </w:rPr>
    </w:lvl>
    <w:lvl w:ilvl="3" w:tplc="040C0001" w:tentative="1">
      <w:start w:val="1"/>
      <w:numFmt w:val="bullet"/>
      <w:lvlText w:val=""/>
      <w:lvlJc w:val="left"/>
      <w:pPr>
        <w:tabs>
          <w:tab w:val="num" w:pos="3419"/>
        </w:tabs>
        <w:ind w:left="3419" w:hanging="360"/>
      </w:pPr>
      <w:rPr>
        <w:rFonts w:ascii="Symbol" w:hAnsi="Symbol" w:hint="default"/>
      </w:rPr>
    </w:lvl>
    <w:lvl w:ilvl="4" w:tplc="040C0003" w:tentative="1">
      <w:start w:val="1"/>
      <w:numFmt w:val="bullet"/>
      <w:lvlText w:val="o"/>
      <w:lvlJc w:val="left"/>
      <w:pPr>
        <w:tabs>
          <w:tab w:val="num" w:pos="4139"/>
        </w:tabs>
        <w:ind w:left="4139" w:hanging="360"/>
      </w:pPr>
      <w:rPr>
        <w:rFonts w:ascii="Courier New" w:hAnsi="Courier New" w:cs="Courier New" w:hint="default"/>
      </w:rPr>
    </w:lvl>
    <w:lvl w:ilvl="5" w:tplc="040C0005" w:tentative="1">
      <w:start w:val="1"/>
      <w:numFmt w:val="bullet"/>
      <w:lvlText w:val=""/>
      <w:lvlJc w:val="left"/>
      <w:pPr>
        <w:tabs>
          <w:tab w:val="num" w:pos="4859"/>
        </w:tabs>
        <w:ind w:left="4859" w:hanging="360"/>
      </w:pPr>
      <w:rPr>
        <w:rFonts w:ascii="Wingdings" w:hAnsi="Wingdings" w:hint="default"/>
      </w:rPr>
    </w:lvl>
    <w:lvl w:ilvl="6" w:tplc="040C0001" w:tentative="1">
      <w:start w:val="1"/>
      <w:numFmt w:val="bullet"/>
      <w:lvlText w:val=""/>
      <w:lvlJc w:val="left"/>
      <w:pPr>
        <w:tabs>
          <w:tab w:val="num" w:pos="5579"/>
        </w:tabs>
        <w:ind w:left="5579" w:hanging="360"/>
      </w:pPr>
      <w:rPr>
        <w:rFonts w:ascii="Symbol" w:hAnsi="Symbol" w:hint="default"/>
      </w:rPr>
    </w:lvl>
    <w:lvl w:ilvl="7" w:tplc="040C0003" w:tentative="1">
      <w:start w:val="1"/>
      <w:numFmt w:val="bullet"/>
      <w:lvlText w:val="o"/>
      <w:lvlJc w:val="left"/>
      <w:pPr>
        <w:tabs>
          <w:tab w:val="num" w:pos="6299"/>
        </w:tabs>
        <w:ind w:left="6299" w:hanging="360"/>
      </w:pPr>
      <w:rPr>
        <w:rFonts w:ascii="Courier New" w:hAnsi="Courier New" w:cs="Courier New" w:hint="default"/>
      </w:rPr>
    </w:lvl>
    <w:lvl w:ilvl="8" w:tplc="040C0005" w:tentative="1">
      <w:start w:val="1"/>
      <w:numFmt w:val="bullet"/>
      <w:lvlText w:val=""/>
      <w:lvlJc w:val="left"/>
      <w:pPr>
        <w:tabs>
          <w:tab w:val="num" w:pos="7019"/>
        </w:tabs>
        <w:ind w:left="7019" w:hanging="360"/>
      </w:pPr>
      <w:rPr>
        <w:rFonts w:ascii="Wingdings" w:hAnsi="Wingdings" w:hint="default"/>
      </w:rPr>
    </w:lvl>
  </w:abstractNum>
  <w:abstractNum w:abstractNumId="17">
    <w:nsid w:val="508677DC"/>
    <w:multiLevelType w:val="hybridMultilevel"/>
    <w:tmpl w:val="D4C87A8E"/>
    <w:lvl w:ilvl="0" w:tplc="CF2A03C4">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nsid w:val="553D4250"/>
    <w:multiLevelType w:val="hybridMultilevel"/>
    <w:tmpl w:val="95E88DC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nsid w:val="5DC649CC"/>
    <w:multiLevelType w:val="hybridMultilevel"/>
    <w:tmpl w:val="7FDEC524"/>
    <w:lvl w:ilvl="0" w:tplc="74AA3034">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5F0D521A"/>
    <w:multiLevelType w:val="hybridMultilevel"/>
    <w:tmpl w:val="D982F1CA"/>
    <w:lvl w:ilvl="0" w:tplc="040C0009">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nsid w:val="5F336451"/>
    <w:multiLevelType w:val="hybridMultilevel"/>
    <w:tmpl w:val="4C68B694"/>
    <w:lvl w:ilvl="0" w:tplc="8CC4A59E">
      <w:start w:val="1"/>
      <w:numFmt w:val="decimal"/>
      <w:lvlText w:val="%1)"/>
      <w:lvlJc w:val="left"/>
      <w:pPr>
        <w:ind w:left="1440" w:hanging="360"/>
      </w:pPr>
      <w:rPr>
        <w:rFonts w:hint="default"/>
        <w:b/>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2">
    <w:nsid w:val="63632318"/>
    <w:multiLevelType w:val="hybridMultilevel"/>
    <w:tmpl w:val="2D1E3950"/>
    <w:lvl w:ilvl="0" w:tplc="040C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nsid w:val="66DB3F8B"/>
    <w:multiLevelType w:val="hybridMultilevel"/>
    <w:tmpl w:val="CB62F06C"/>
    <w:lvl w:ilvl="0" w:tplc="040C000B">
      <w:start w:val="1"/>
      <w:numFmt w:val="bullet"/>
      <w:lvlText w:val=""/>
      <w:lvlJc w:val="left"/>
      <w:pPr>
        <w:tabs>
          <w:tab w:val="num" w:pos="1260"/>
        </w:tabs>
        <w:ind w:left="1260" w:hanging="360"/>
      </w:pPr>
      <w:rPr>
        <w:rFonts w:ascii="Wingdings" w:hAnsi="Wingdings"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24">
    <w:nsid w:val="67951215"/>
    <w:multiLevelType w:val="hybridMultilevel"/>
    <w:tmpl w:val="96B63CD4"/>
    <w:lvl w:ilvl="0" w:tplc="2E9EC4F6">
      <w:start w:val="3"/>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6CA122D2"/>
    <w:multiLevelType w:val="hybridMultilevel"/>
    <w:tmpl w:val="F2B2268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nsid w:val="6EBC629A"/>
    <w:multiLevelType w:val="hybridMultilevel"/>
    <w:tmpl w:val="CD74645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7A55525B"/>
    <w:multiLevelType w:val="hybridMultilevel"/>
    <w:tmpl w:val="5CA0E49A"/>
    <w:lvl w:ilvl="0" w:tplc="040C0001">
      <w:start w:val="1"/>
      <w:numFmt w:val="bullet"/>
      <w:lvlText w:val=""/>
      <w:lvlJc w:val="left"/>
      <w:pPr>
        <w:tabs>
          <w:tab w:val="num" w:pos="720"/>
        </w:tabs>
        <w:ind w:left="720" w:hanging="360"/>
      </w:pPr>
      <w:rPr>
        <w:rFonts w:ascii="Symbol" w:hAnsi="Symbol"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8">
    <w:nsid w:val="7C727F7F"/>
    <w:multiLevelType w:val="hybridMultilevel"/>
    <w:tmpl w:val="F98AEF0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nsid w:val="7EBD748B"/>
    <w:multiLevelType w:val="multilevel"/>
    <w:tmpl w:val="8DB6E226"/>
    <w:lvl w:ilvl="0">
      <w:numFmt w:val="decimal"/>
      <w:lvlText w:val="%1"/>
      <w:lvlJc w:val="left"/>
      <w:pPr>
        <w:tabs>
          <w:tab w:val="num" w:pos="540"/>
        </w:tabs>
        <w:ind w:left="540" w:hanging="540"/>
      </w:pPr>
      <w:rPr>
        <w:rFonts w:hint="default"/>
      </w:rPr>
    </w:lvl>
    <w:lvl w:ilvl="1">
      <w:start w:val="16"/>
      <w:numFmt w:val="decimalZero"/>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7FC91F30"/>
    <w:multiLevelType w:val="hybridMultilevel"/>
    <w:tmpl w:val="4C9C5A4A"/>
    <w:lvl w:ilvl="0" w:tplc="040C0001">
      <w:start w:val="1"/>
      <w:numFmt w:val="bullet"/>
      <w:lvlText w:val=""/>
      <w:lvlJc w:val="left"/>
      <w:pPr>
        <w:tabs>
          <w:tab w:val="num" w:pos="1260"/>
        </w:tabs>
        <w:ind w:left="1260" w:hanging="360"/>
      </w:pPr>
      <w:rPr>
        <w:rFonts w:ascii="Symbol" w:hAnsi="Symbol"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31">
    <w:nsid w:val="7FF24684"/>
    <w:multiLevelType w:val="multilevel"/>
    <w:tmpl w:val="0C1E3628"/>
    <w:lvl w:ilvl="0">
      <w:numFmt w:val="decimal"/>
      <w:lvlText w:val="%1"/>
      <w:lvlJc w:val="left"/>
      <w:pPr>
        <w:tabs>
          <w:tab w:val="num" w:pos="660"/>
        </w:tabs>
        <w:ind w:left="660" w:hanging="660"/>
      </w:pPr>
      <w:rPr>
        <w:rFonts w:hint="default"/>
      </w:rPr>
    </w:lvl>
    <w:lvl w:ilvl="1">
      <w:start w:val="71"/>
      <w:numFmt w:val="decimalZero"/>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2"/>
  </w:num>
  <w:num w:numId="2">
    <w:abstractNumId w:val="18"/>
  </w:num>
  <w:num w:numId="3">
    <w:abstractNumId w:val="23"/>
  </w:num>
  <w:num w:numId="4">
    <w:abstractNumId w:val="22"/>
  </w:num>
  <w:num w:numId="5">
    <w:abstractNumId w:val="0"/>
  </w:num>
  <w:num w:numId="6">
    <w:abstractNumId w:val="28"/>
  </w:num>
  <w:num w:numId="7">
    <w:abstractNumId w:val="17"/>
  </w:num>
  <w:num w:numId="8">
    <w:abstractNumId w:val="12"/>
  </w:num>
  <w:num w:numId="9">
    <w:abstractNumId w:val="15"/>
  </w:num>
  <w:num w:numId="10">
    <w:abstractNumId w:val="4"/>
  </w:num>
  <w:num w:numId="11">
    <w:abstractNumId w:val="27"/>
  </w:num>
  <w:num w:numId="12">
    <w:abstractNumId w:val="1"/>
  </w:num>
  <w:num w:numId="13">
    <w:abstractNumId w:val="31"/>
  </w:num>
  <w:num w:numId="14">
    <w:abstractNumId w:val="29"/>
  </w:num>
  <w:num w:numId="15">
    <w:abstractNumId w:val="20"/>
  </w:num>
  <w:num w:numId="16">
    <w:abstractNumId w:val="9"/>
  </w:num>
  <w:num w:numId="17">
    <w:abstractNumId w:val="13"/>
  </w:num>
  <w:num w:numId="18">
    <w:abstractNumId w:val="3"/>
  </w:num>
  <w:num w:numId="19">
    <w:abstractNumId w:val="30"/>
  </w:num>
  <w:num w:numId="20">
    <w:abstractNumId w:val="8"/>
  </w:num>
  <w:num w:numId="21">
    <w:abstractNumId w:val="6"/>
  </w:num>
  <w:num w:numId="22">
    <w:abstractNumId w:val="10"/>
  </w:num>
  <w:num w:numId="23">
    <w:abstractNumId w:val="25"/>
  </w:num>
  <w:num w:numId="24">
    <w:abstractNumId w:val="16"/>
  </w:num>
  <w:num w:numId="25">
    <w:abstractNumId w:val="5"/>
  </w:num>
  <w:num w:numId="26">
    <w:abstractNumId w:val="7"/>
  </w:num>
  <w:num w:numId="27">
    <w:abstractNumId w:val="11"/>
  </w:num>
  <w:num w:numId="28">
    <w:abstractNumId w:val="26"/>
  </w:num>
  <w:num w:numId="29">
    <w:abstractNumId w:val="14"/>
  </w:num>
  <w:num w:numId="30">
    <w:abstractNumId w:val="19"/>
  </w:num>
  <w:num w:numId="31">
    <w:abstractNumId w:val="24"/>
  </w:num>
  <w:num w:numId="32">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5122"/>
    <o:shapelayout v:ext="edit">
      <o:idmap v:ext="edit" data="1"/>
    </o:shapelayout>
  </w:hdrShapeDefaults>
  <w:footnotePr>
    <w:footnote w:id="0"/>
    <w:footnote w:id="1"/>
  </w:footnotePr>
  <w:endnotePr>
    <w:endnote w:id="0"/>
    <w:endnote w:id="1"/>
  </w:endnotePr>
  <w:compat/>
  <w:rsids>
    <w:rsidRoot w:val="00723E07"/>
    <w:rsid w:val="000B3495"/>
    <w:rsid w:val="000D569A"/>
    <w:rsid w:val="000E2769"/>
    <w:rsid w:val="000E311E"/>
    <w:rsid w:val="0010635E"/>
    <w:rsid w:val="00120276"/>
    <w:rsid w:val="00147424"/>
    <w:rsid w:val="00163EDA"/>
    <w:rsid w:val="001C2A4F"/>
    <w:rsid w:val="00210F88"/>
    <w:rsid w:val="00242324"/>
    <w:rsid w:val="00246DE1"/>
    <w:rsid w:val="00250131"/>
    <w:rsid w:val="00261823"/>
    <w:rsid w:val="00272601"/>
    <w:rsid w:val="002B0344"/>
    <w:rsid w:val="002D715D"/>
    <w:rsid w:val="00327647"/>
    <w:rsid w:val="00353C38"/>
    <w:rsid w:val="003717D8"/>
    <w:rsid w:val="003C2576"/>
    <w:rsid w:val="003C7ED5"/>
    <w:rsid w:val="00480042"/>
    <w:rsid w:val="004A0C6E"/>
    <w:rsid w:val="005603B6"/>
    <w:rsid w:val="00582F3E"/>
    <w:rsid w:val="00591503"/>
    <w:rsid w:val="00614694"/>
    <w:rsid w:val="00617C21"/>
    <w:rsid w:val="00647CA9"/>
    <w:rsid w:val="00670FF4"/>
    <w:rsid w:val="006F2D6D"/>
    <w:rsid w:val="007202C2"/>
    <w:rsid w:val="007239AD"/>
    <w:rsid w:val="00723E07"/>
    <w:rsid w:val="007347F8"/>
    <w:rsid w:val="007760F7"/>
    <w:rsid w:val="00777F69"/>
    <w:rsid w:val="00785E5A"/>
    <w:rsid w:val="007B2D6A"/>
    <w:rsid w:val="007E6DCC"/>
    <w:rsid w:val="008B2195"/>
    <w:rsid w:val="008E7AD9"/>
    <w:rsid w:val="00945254"/>
    <w:rsid w:val="00952812"/>
    <w:rsid w:val="009A150D"/>
    <w:rsid w:val="00A8513F"/>
    <w:rsid w:val="00A906C3"/>
    <w:rsid w:val="00AD32E1"/>
    <w:rsid w:val="00B8388C"/>
    <w:rsid w:val="00C03DFE"/>
    <w:rsid w:val="00C33E58"/>
    <w:rsid w:val="00C436D2"/>
    <w:rsid w:val="00C52207"/>
    <w:rsid w:val="00CB1DC7"/>
    <w:rsid w:val="00CC072C"/>
    <w:rsid w:val="00E110B4"/>
    <w:rsid w:val="00ED5807"/>
    <w:rsid w:val="00FB7F9C"/>
    <w:rsid w:val="00FE3105"/>
    <w:rsid w:val="00FF1C06"/>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3E07"/>
    <w:pPr>
      <w:spacing w:after="0" w:line="240" w:lineRule="auto"/>
    </w:pPr>
    <w:rPr>
      <w:rFonts w:ascii="Times New Roman" w:eastAsia="Times New Roman" w:hAnsi="Times New Roman" w:cs="Times New Roman"/>
      <w:sz w:val="24"/>
      <w:szCs w:val="24"/>
      <w:lang w:eastAsia="fr-FR"/>
    </w:rPr>
  </w:style>
  <w:style w:type="paragraph" w:styleId="Titre2">
    <w:name w:val="heading 2"/>
    <w:basedOn w:val="Normal"/>
    <w:next w:val="Normal"/>
    <w:link w:val="Titre2Car"/>
    <w:unhideWhenUsed/>
    <w:qFormat/>
    <w:rsid w:val="00723E0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nhideWhenUsed/>
    <w:qFormat/>
    <w:rsid w:val="00723E07"/>
    <w:pPr>
      <w:keepNext/>
      <w:keepLines/>
      <w:spacing w:before="20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qFormat/>
    <w:rsid w:val="00723E07"/>
    <w:pPr>
      <w:keepNext/>
      <w:spacing w:before="240" w:after="60"/>
      <w:outlineLvl w:val="3"/>
    </w:pPr>
    <w:rPr>
      <w:b/>
      <w:bCs/>
      <w:sz w:val="28"/>
      <w:szCs w:val="28"/>
    </w:rPr>
  </w:style>
  <w:style w:type="paragraph" w:styleId="Titre5">
    <w:name w:val="heading 5"/>
    <w:basedOn w:val="Normal"/>
    <w:next w:val="Normal"/>
    <w:link w:val="Titre5Car"/>
    <w:qFormat/>
    <w:rsid w:val="00723E07"/>
    <w:pPr>
      <w:keepNext/>
      <w:spacing w:before="120" w:after="120" w:line="400" w:lineRule="atLeast"/>
      <w:jc w:val="lowKashida"/>
      <w:outlineLvl w:val="4"/>
    </w:pPr>
    <w:rPr>
      <w:b/>
      <w:bCs/>
      <w:lang w:eastAsia="en-US"/>
    </w:rPr>
  </w:style>
  <w:style w:type="paragraph" w:styleId="Titre6">
    <w:name w:val="heading 6"/>
    <w:basedOn w:val="Normal"/>
    <w:next w:val="Normal"/>
    <w:link w:val="Titre6Car"/>
    <w:qFormat/>
    <w:rsid w:val="00723E07"/>
    <w:pPr>
      <w:spacing w:before="240" w:after="60"/>
      <w:outlineLvl w:val="5"/>
    </w:pPr>
    <w:rPr>
      <w:b/>
      <w:bCs/>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rsid w:val="00723E07"/>
    <w:rPr>
      <w:rFonts w:asciiTheme="majorHAnsi" w:eastAsiaTheme="majorEastAsia" w:hAnsiTheme="majorHAnsi" w:cstheme="majorBidi"/>
      <w:b/>
      <w:bCs/>
      <w:color w:val="4F81BD" w:themeColor="accent1"/>
      <w:sz w:val="26"/>
      <w:szCs w:val="26"/>
      <w:lang w:eastAsia="fr-FR"/>
    </w:rPr>
  </w:style>
  <w:style w:type="character" w:customStyle="1" w:styleId="Titre3Car">
    <w:name w:val="Titre 3 Car"/>
    <w:basedOn w:val="Policepardfaut"/>
    <w:link w:val="Titre3"/>
    <w:rsid w:val="00723E07"/>
    <w:rPr>
      <w:rFonts w:asciiTheme="majorHAnsi" w:eastAsiaTheme="majorEastAsia" w:hAnsiTheme="majorHAnsi" w:cstheme="majorBidi"/>
      <w:b/>
      <w:bCs/>
      <w:color w:val="4F81BD" w:themeColor="accent1"/>
      <w:sz w:val="24"/>
      <w:szCs w:val="24"/>
      <w:lang w:eastAsia="fr-FR"/>
    </w:rPr>
  </w:style>
  <w:style w:type="character" w:customStyle="1" w:styleId="Titre4Car">
    <w:name w:val="Titre 4 Car"/>
    <w:basedOn w:val="Policepardfaut"/>
    <w:link w:val="Titre4"/>
    <w:rsid w:val="00723E07"/>
    <w:rPr>
      <w:rFonts w:ascii="Times New Roman" w:eastAsia="Times New Roman" w:hAnsi="Times New Roman" w:cs="Times New Roman"/>
      <w:b/>
      <w:bCs/>
      <w:sz w:val="28"/>
      <w:szCs w:val="28"/>
      <w:lang w:eastAsia="fr-FR"/>
    </w:rPr>
  </w:style>
  <w:style w:type="character" w:customStyle="1" w:styleId="Titre5Car">
    <w:name w:val="Titre 5 Car"/>
    <w:basedOn w:val="Policepardfaut"/>
    <w:link w:val="Titre5"/>
    <w:rsid w:val="00723E07"/>
    <w:rPr>
      <w:rFonts w:ascii="Times New Roman" w:eastAsia="Times New Roman" w:hAnsi="Times New Roman" w:cs="Times New Roman"/>
      <w:b/>
      <w:bCs/>
      <w:sz w:val="24"/>
      <w:szCs w:val="24"/>
    </w:rPr>
  </w:style>
  <w:style w:type="character" w:customStyle="1" w:styleId="Titre6Car">
    <w:name w:val="Titre 6 Car"/>
    <w:basedOn w:val="Policepardfaut"/>
    <w:link w:val="Titre6"/>
    <w:rsid w:val="00723E07"/>
    <w:rPr>
      <w:rFonts w:ascii="Times New Roman" w:eastAsia="Times New Roman" w:hAnsi="Times New Roman" w:cs="Times New Roman"/>
      <w:b/>
      <w:bCs/>
      <w:lang w:eastAsia="fr-FR"/>
    </w:rPr>
  </w:style>
  <w:style w:type="paragraph" w:styleId="Retraitcorpsdetexte2">
    <w:name w:val="Body Text Indent 2"/>
    <w:basedOn w:val="Normal"/>
    <w:link w:val="Retraitcorpsdetexte2Car"/>
    <w:rsid w:val="00723E07"/>
    <w:pPr>
      <w:spacing w:before="120" w:after="120" w:line="400" w:lineRule="atLeast"/>
      <w:ind w:firstLine="720"/>
      <w:jc w:val="lowKashida"/>
    </w:pPr>
    <w:rPr>
      <w:lang w:eastAsia="en-US"/>
    </w:rPr>
  </w:style>
  <w:style w:type="character" w:customStyle="1" w:styleId="Retraitcorpsdetexte2Car">
    <w:name w:val="Retrait corps de texte 2 Car"/>
    <w:basedOn w:val="Policepardfaut"/>
    <w:link w:val="Retraitcorpsdetexte2"/>
    <w:rsid w:val="00723E07"/>
    <w:rPr>
      <w:rFonts w:ascii="Times New Roman" w:eastAsia="Times New Roman" w:hAnsi="Times New Roman" w:cs="Times New Roman"/>
      <w:sz w:val="24"/>
      <w:szCs w:val="24"/>
    </w:rPr>
  </w:style>
  <w:style w:type="paragraph" w:styleId="Retraitcorpsdetexte">
    <w:name w:val="Body Text Indent"/>
    <w:basedOn w:val="Normal"/>
    <w:link w:val="RetraitcorpsdetexteCar"/>
    <w:rsid w:val="00723E07"/>
    <w:pPr>
      <w:spacing w:after="120"/>
      <w:ind w:left="283"/>
    </w:pPr>
  </w:style>
  <w:style w:type="character" w:customStyle="1" w:styleId="RetraitcorpsdetexteCar">
    <w:name w:val="Retrait corps de texte Car"/>
    <w:basedOn w:val="Policepardfaut"/>
    <w:link w:val="Retraitcorpsdetexte"/>
    <w:rsid w:val="00723E07"/>
    <w:rPr>
      <w:rFonts w:ascii="Times New Roman" w:eastAsia="Times New Roman" w:hAnsi="Times New Roman" w:cs="Times New Roman"/>
      <w:sz w:val="24"/>
      <w:szCs w:val="24"/>
      <w:lang w:eastAsia="fr-FR"/>
    </w:rPr>
  </w:style>
  <w:style w:type="paragraph" w:styleId="Corpsdetexte">
    <w:name w:val="Body Text"/>
    <w:basedOn w:val="Normal"/>
    <w:link w:val="CorpsdetexteCar"/>
    <w:rsid w:val="00723E07"/>
    <w:pPr>
      <w:spacing w:after="120"/>
    </w:pPr>
  </w:style>
  <w:style w:type="character" w:customStyle="1" w:styleId="CorpsdetexteCar">
    <w:name w:val="Corps de texte Car"/>
    <w:basedOn w:val="Policepardfaut"/>
    <w:link w:val="Corpsdetexte"/>
    <w:rsid w:val="00723E07"/>
    <w:rPr>
      <w:rFonts w:ascii="Times New Roman" w:eastAsia="Times New Roman" w:hAnsi="Times New Roman" w:cs="Times New Roman"/>
      <w:sz w:val="24"/>
      <w:szCs w:val="24"/>
      <w:lang w:eastAsia="fr-FR"/>
    </w:rPr>
  </w:style>
  <w:style w:type="table" w:styleId="Grilledutableau">
    <w:name w:val="Table Grid"/>
    <w:basedOn w:val="TableauNormal"/>
    <w:rsid w:val="00723E07"/>
    <w:pPr>
      <w:spacing w:after="0" w:line="240" w:lineRule="auto"/>
    </w:pPr>
    <w:rPr>
      <w:rFonts w:ascii="Times New Roman" w:eastAsia="Times New Roman" w:hAnsi="Times New Roman" w:cs="Times New Roman"/>
      <w:sz w:val="20"/>
      <w:szCs w:val="20"/>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rsid w:val="00723E07"/>
    <w:pPr>
      <w:tabs>
        <w:tab w:val="center" w:pos="4536"/>
        <w:tab w:val="right" w:pos="9072"/>
      </w:tabs>
    </w:pPr>
  </w:style>
  <w:style w:type="character" w:customStyle="1" w:styleId="En-tteCar">
    <w:name w:val="En-tête Car"/>
    <w:basedOn w:val="Policepardfaut"/>
    <w:link w:val="En-tte"/>
    <w:rsid w:val="00723E07"/>
    <w:rPr>
      <w:rFonts w:ascii="Times New Roman" w:eastAsia="Times New Roman" w:hAnsi="Times New Roman" w:cs="Times New Roman"/>
      <w:sz w:val="24"/>
      <w:szCs w:val="24"/>
      <w:lang w:eastAsia="fr-FR"/>
    </w:rPr>
  </w:style>
  <w:style w:type="paragraph" w:styleId="Pieddepage">
    <w:name w:val="footer"/>
    <w:basedOn w:val="Normal"/>
    <w:link w:val="PieddepageCar"/>
    <w:rsid w:val="00723E07"/>
    <w:pPr>
      <w:tabs>
        <w:tab w:val="center" w:pos="4536"/>
        <w:tab w:val="right" w:pos="9072"/>
      </w:tabs>
    </w:pPr>
  </w:style>
  <w:style w:type="character" w:customStyle="1" w:styleId="PieddepageCar">
    <w:name w:val="Pied de page Car"/>
    <w:basedOn w:val="Policepardfaut"/>
    <w:link w:val="Pieddepage"/>
    <w:rsid w:val="00723E07"/>
    <w:rPr>
      <w:rFonts w:ascii="Times New Roman" w:eastAsia="Times New Roman" w:hAnsi="Times New Roman" w:cs="Times New Roman"/>
      <w:sz w:val="24"/>
      <w:szCs w:val="24"/>
      <w:lang w:eastAsia="fr-FR"/>
    </w:rPr>
  </w:style>
  <w:style w:type="paragraph" w:styleId="NormalWeb">
    <w:name w:val="Normal (Web)"/>
    <w:basedOn w:val="Normal"/>
    <w:rsid w:val="00723E07"/>
    <w:pPr>
      <w:spacing w:before="100" w:beforeAutospacing="1" w:after="100" w:afterAutospacing="1"/>
    </w:pPr>
  </w:style>
  <w:style w:type="character" w:styleId="Numrodepage">
    <w:name w:val="page number"/>
    <w:basedOn w:val="Policepardfaut"/>
    <w:rsid w:val="00723E07"/>
  </w:style>
  <w:style w:type="paragraph" w:customStyle="1" w:styleId="title">
    <w:name w:val="title"/>
    <w:basedOn w:val="Normal"/>
    <w:rsid w:val="00723E07"/>
    <w:pPr>
      <w:spacing w:before="100" w:beforeAutospacing="1" w:after="100" w:afterAutospacing="1"/>
      <w:ind w:right="2250"/>
    </w:pPr>
    <w:rPr>
      <w:rFonts w:ascii="Arial" w:hAnsi="Arial" w:cs="Arial"/>
      <w:sz w:val="18"/>
      <w:szCs w:val="18"/>
    </w:rPr>
  </w:style>
  <w:style w:type="character" w:styleId="Accentuation">
    <w:name w:val="Emphasis"/>
    <w:basedOn w:val="Policepardfaut"/>
    <w:qFormat/>
    <w:rsid w:val="00723E07"/>
    <w:rPr>
      <w:i/>
      <w:iCs/>
    </w:rPr>
  </w:style>
  <w:style w:type="paragraph" w:styleId="Textedebulles">
    <w:name w:val="Balloon Text"/>
    <w:basedOn w:val="Normal"/>
    <w:link w:val="TextedebullesCar"/>
    <w:uiPriority w:val="99"/>
    <w:semiHidden/>
    <w:unhideWhenUsed/>
    <w:rsid w:val="00723E07"/>
    <w:rPr>
      <w:rFonts w:ascii="Tahoma" w:hAnsi="Tahoma" w:cs="Tahoma"/>
      <w:sz w:val="16"/>
      <w:szCs w:val="16"/>
    </w:rPr>
  </w:style>
  <w:style w:type="character" w:customStyle="1" w:styleId="TextedebullesCar">
    <w:name w:val="Texte de bulles Car"/>
    <w:basedOn w:val="Policepardfaut"/>
    <w:link w:val="Textedebulles"/>
    <w:uiPriority w:val="99"/>
    <w:semiHidden/>
    <w:rsid w:val="00723E07"/>
    <w:rPr>
      <w:rFonts w:ascii="Tahoma" w:eastAsia="Times New Roman" w:hAnsi="Tahoma" w:cs="Tahoma"/>
      <w:sz w:val="16"/>
      <w:szCs w:val="16"/>
      <w:lang w:eastAsia="fr-FR"/>
    </w:rPr>
  </w:style>
  <w:style w:type="paragraph" w:styleId="Paragraphedeliste">
    <w:name w:val="List Paragraph"/>
    <w:basedOn w:val="Normal"/>
    <w:uiPriority w:val="34"/>
    <w:qFormat/>
    <w:rsid w:val="00723E07"/>
    <w:pPr>
      <w:ind w:left="720"/>
      <w:contextualSpacing/>
    </w:pPr>
  </w:style>
  <w:style w:type="paragraph" w:customStyle="1" w:styleId="body">
    <w:name w:val="body"/>
    <w:basedOn w:val="Normal"/>
    <w:rsid w:val="00723E07"/>
    <w:pPr>
      <w:spacing w:before="100" w:beforeAutospacing="1" w:after="100" w:afterAutospacing="1"/>
      <w:jc w:val="both"/>
    </w:pPr>
    <w:rPr>
      <w:rFonts w:ascii="Verdana" w:hAnsi="Verdana"/>
      <w:sz w:val="11"/>
      <w:szCs w:val="11"/>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Pages>
  <Words>8621</Words>
  <Characters>47421</Characters>
  <Application>Microsoft Office Word</Application>
  <DocSecurity>0</DocSecurity>
  <Lines>395</Lines>
  <Paragraphs>111</Paragraphs>
  <ScaleCrop>false</ScaleCrop>
  <Company/>
  <LinksUpToDate>false</LinksUpToDate>
  <CharactersWithSpaces>55931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easy</dc:creator>
  <cp:keywords/>
  <dc:description/>
  <cp:lastModifiedBy>easy</cp:lastModifiedBy>
  <cp:revision>4</cp:revision>
  <cp:lastPrinted>2009-04-26T12:53:00Z</cp:lastPrinted>
  <dcterms:created xsi:type="dcterms:W3CDTF">2009-04-26T12:50:00Z</dcterms:created>
  <dcterms:modified xsi:type="dcterms:W3CDTF">2009-05-10T22:46:00Z</dcterms:modified>
</cp:coreProperties>
</file>